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w w:val="80"/>
          <w:sz w:val="44"/>
          <w:szCs w:val="44"/>
        </w:rPr>
      </w:pPr>
      <w:bookmarkStart w:id="0" w:name="_Toc58064524"/>
      <w:bookmarkStart w:id="1" w:name="_Toc58064525"/>
      <w:r>
        <w:rPr>
          <w:rFonts w:hint="eastAsia" w:ascii="黑体" w:hAnsi="黑体" w:eastAsia="黑体"/>
          <w:b/>
          <w:w w:val="80"/>
          <w:sz w:val="44"/>
          <w:szCs w:val="44"/>
        </w:rPr>
        <w:t>普通高等学校师范类专业认证</w:t>
      </w:r>
      <w:bookmarkEnd w:id="0"/>
    </w:p>
    <w:p>
      <w:pPr>
        <w:jc w:val="center"/>
        <w:outlineLvl w:val="0"/>
        <w:rPr>
          <w:rFonts w:hint="eastAsia" w:ascii="黑体" w:hAnsi="黑体" w:eastAsia="黑体"/>
          <w:b/>
          <w:w w:val="80"/>
          <w:sz w:val="44"/>
          <w:szCs w:val="44"/>
        </w:rPr>
      </w:pPr>
      <w:r>
        <w:rPr>
          <w:rFonts w:hint="eastAsia" w:ascii="黑体" w:hAnsi="黑体" w:eastAsia="黑体"/>
          <w:b/>
          <w:w w:val="80"/>
          <w:sz w:val="44"/>
          <w:szCs w:val="44"/>
        </w:rPr>
        <w:t>（职业技术师范教育 第二级）</w:t>
      </w:r>
    </w:p>
    <w:p>
      <w:pPr>
        <w:pStyle w:val="4"/>
        <w:jc w:val="center"/>
        <w:rPr>
          <w:rFonts w:ascii="黑体" w:eastAsia="黑体"/>
          <w:sz w:val="44"/>
          <w:szCs w:val="44"/>
        </w:rPr>
      </w:pPr>
      <w:r>
        <w:rPr>
          <w:rFonts w:hint="eastAsia" w:ascii="黑体" w:eastAsia="黑体"/>
          <w:sz w:val="44"/>
          <w:szCs w:val="44"/>
        </w:rPr>
        <w:t>自评报告撰写指南</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23</w:t>
      </w:r>
      <w:r>
        <w:rPr>
          <w:rFonts w:hint="eastAsia" w:ascii="仿宋" w:hAnsi="仿宋" w:eastAsia="仿宋"/>
          <w:sz w:val="28"/>
          <w:szCs w:val="28"/>
        </w:rPr>
        <w:t>版）</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本指南围绕师范类专业认证标准，提出了自评报告撰写的基本要求，仅用于专业撰写自评报告参考，而不是作为自评报告撰写的范本。指南中所列内容，是专家在进行认证判断时所需的基本信息，自评报告应包含但不限于这些内容。</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南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2.报告内容按照指南要求，紧扣认证标准，逐条用数据和事实举证达成情况、存在的主要问题及采取的改进措施，总篇幅不超过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20" w:lineRule="exact"/>
        <w:ind w:firstLine="470" w:firstLineChars="196"/>
        <w:rPr>
          <w:rFonts w:ascii="华文楷体" w:hAnsi="华文楷体" w:eastAsia="华文楷体"/>
          <w:szCs w:val="28"/>
        </w:rPr>
      </w:pPr>
      <w:bookmarkStart w:id="2" w:name="_Hlk62463970"/>
      <w:bookmarkStart w:id="3" w:name="_Hlk62464011"/>
      <w:r>
        <w:rPr>
          <w:rFonts w:hint="eastAsia" w:ascii="华文楷体" w:hAnsi="华文楷体" w:eastAsia="华文楷体"/>
          <w:szCs w:val="28"/>
        </w:rPr>
        <w:t>3.报告要求明确清晰给出专业“自画像”，强调以问题为导向，专业主动开展自评自查</w:t>
      </w:r>
      <w:bookmarkEnd w:id="2"/>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3"/>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5. 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20" w:lineRule="exact"/>
        <w:ind w:firstLine="470" w:firstLineChars="196"/>
        <w:rPr>
          <w:rFonts w:ascii="华文楷体" w:hAnsi="华文楷体" w:eastAsia="华文楷体"/>
          <w:szCs w:val="28"/>
        </w:rPr>
      </w:pPr>
      <w:r>
        <w:rPr>
          <w:rFonts w:hint="eastAsia" w:ascii="华文楷体" w:hAnsi="华文楷体" w:eastAsia="华文楷体"/>
          <w:szCs w:val="28"/>
        </w:rPr>
        <w:t>本指南中部分名词的说明:</w:t>
      </w:r>
    </w:p>
    <w:p>
      <w:pPr>
        <w:pStyle w:val="20"/>
        <w:numPr>
          <w:ilvl w:val="0"/>
          <w:numId w:val="1"/>
        </w:numPr>
        <w:spacing w:line="520" w:lineRule="exact"/>
        <w:ind w:firstLineChars="0"/>
        <w:rPr>
          <w:rFonts w:ascii="华文楷体" w:hAnsi="华文楷体" w:eastAsia="华文楷体"/>
          <w:szCs w:val="28"/>
        </w:rPr>
      </w:pPr>
      <w:bookmarkStart w:id="4"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4"/>
    </w:p>
    <w:p>
      <w:pPr>
        <w:pStyle w:val="20"/>
        <w:numPr>
          <w:ilvl w:val="0"/>
          <w:numId w:val="1"/>
        </w:numPr>
        <w:spacing w:line="52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 xml:space="preserve"> 抽样应具有统计意义。评价结果是持续改进的依据。</w:t>
      </w:r>
    </w:p>
    <w:p>
      <w:pPr>
        <w:pStyle w:val="20"/>
        <w:numPr>
          <w:ilvl w:val="0"/>
          <w:numId w:val="1"/>
        </w:numPr>
        <w:spacing w:line="52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156" w:beforeLines="50" w:after="156" w:afterLines="50"/>
        <w:jc w:val="center"/>
        <w:outlineLvl w:val="0"/>
        <w:rPr>
          <w:rFonts w:ascii="黑体" w:hAnsi="黑体" w:eastAsia="黑体" w:cs="黑体"/>
          <w:bCs/>
          <w:sz w:val="52"/>
          <w:szCs w:val="52"/>
        </w:rPr>
      </w:pPr>
      <w:bookmarkStart w:id="5" w:name="_Toc4392"/>
      <w:bookmarkStart w:id="6" w:name="_Toc58064526"/>
      <w:r>
        <w:rPr>
          <w:rFonts w:hint="eastAsia" w:ascii="黑体" w:hAnsi="黑体" w:eastAsia="黑体" w:cs="黑体"/>
          <w:bCs/>
          <w:sz w:val="52"/>
          <w:szCs w:val="52"/>
        </w:rPr>
        <w:t>（职业技术师范教育第二级）</w:t>
      </w:r>
      <w:bookmarkEnd w:id="5"/>
      <w:bookmarkEnd w:id="6"/>
    </w:p>
    <w:p>
      <w:pPr>
        <w:spacing w:before="156" w:beforeLines="50" w:after="156" w:afterLines="50"/>
        <w:jc w:val="center"/>
        <w:outlineLvl w:val="0"/>
        <w:rPr>
          <w:rFonts w:ascii="黑体" w:hAnsi="黑体" w:eastAsia="黑体"/>
          <w:b/>
          <w:bCs/>
          <w:sz w:val="72"/>
          <w:szCs w:val="72"/>
        </w:rPr>
      </w:pPr>
      <w:bookmarkStart w:id="7" w:name="_Toc58064527"/>
      <w:bookmarkStart w:id="8" w:name="_Toc19158"/>
      <w:r>
        <w:rPr>
          <w:rFonts w:hint="eastAsia" w:ascii="黑体" w:hAnsi="黑体" w:eastAsia="黑体" w:cs="黑体"/>
          <w:b/>
          <w:bCs/>
          <w:sz w:val="72"/>
          <w:szCs w:val="72"/>
        </w:rPr>
        <w:t>自评报告</w:t>
      </w:r>
      <w:bookmarkEnd w:id="7"/>
      <w:bookmarkEnd w:id="8"/>
    </w:p>
    <w:p>
      <w:pPr>
        <w:spacing w:before="156" w:beforeLines="50" w:after="156" w:afterLines="50" w:line="480" w:lineRule="auto"/>
        <w:ind w:firstLine="1400" w:firstLineChars="498"/>
        <w:rPr>
          <w:rFonts w:ascii="黑体" w:eastAsia="黑体" w:cs="黑体"/>
          <w:b/>
          <w:bCs/>
          <w:sz w:val="28"/>
          <w:szCs w:val="28"/>
        </w:rPr>
      </w:pPr>
    </w:p>
    <w:p>
      <w:pPr>
        <w:spacing w:before="156" w:beforeLines="50" w:after="156" w:afterLines="50" w:line="480" w:lineRule="auto"/>
        <w:ind w:firstLine="1400" w:firstLineChars="498"/>
        <w:rPr>
          <w:rFonts w:ascii="黑体" w:eastAsia="黑体" w:cs="黑体"/>
          <w:b/>
          <w:bCs/>
          <w:sz w:val="28"/>
          <w:szCs w:val="28"/>
        </w:rPr>
      </w:pP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156" w:beforeLines="50" w:after="156" w:afterLines="50" w:line="480" w:lineRule="auto"/>
        <w:ind w:firstLine="1400" w:firstLineChars="498"/>
        <w:rPr>
          <w:rStyle w:val="14"/>
        </w:rPr>
      </w:pPr>
      <w:r>
        <w:rPr>
          <w:rFonts w:hint="eastAsia" w:ascii="黑体" w:eastAsia="黑体" w:cs="黑体"/>
          <w:b/>
          <w:bCs/>
          <w:sz w:val="28"/>
          <w:szCs w:val="28"/>
        </w:rPr>
        <w:t>专业：</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156" w:beforeLines="50" w:after="156" w:afterLines="50" w:line="480" w:lineRule="auto"/>
        <w:ind w:firstLine="1400" w:firstLineChars="498"/>
        <w:rPr>
          <w:rFonts w:ascii="黑体" w:eastAsia="黑体" w:cs="黑体"/>
          <w:b/>
          <w:bCs/>
          <w:sz w:val="28"/>
          <w:szCs w:val="28"/>
        </w:rPr>
      </w:pPr>
      <w:r>
        <w:rPr>
          <w:rFonts w:hint="eastAsia" w:ascii="黑体" w:eastAsia="黑体" w:cs="黑体"/>
          <w:b/>
          <w:bCs/>
          <w:sz w:val="28"/>
          <w:szCs w:val="28"/>
        </w:rPr>
        <w:t>学校盖章：</w:t>
      </w:r>
    </w:p>
    <w:p>
      <w:pPr>
        <w:spacing w:before="156" w:beforeLines="50" w:after="156" w:afterLines="50" w:line="480" w:lineRule="auto"/>
        <w:ind w:firstLine="1400" w:firstLineChars="498"/>
        <w:rPr>
          <w:rFonts w:ascii="黑体" w:eastAsia="黑体" w:cs="黑体"/>
          <w:b/>
          <w:bCs/>
          <w:sz w:val="28"/>
          <w:szCs w:val="28"/>
        </w:rPr>
      </w:pPr>
    </w:p>
    <w:p>
      <w:pPr>
        <w:spacing w:before="156" w:beforeLines="50" w:after="156" w:afterLines="50" w:line="480" w:lineRule="auto"/>
        <w:ind w:firstLine="1400" w:firstLineChars="498"/>
        <w:rPr>
          <w:rFonts w:ascii="黑体" w:eastAsia="黑体" w:cs="黑体"/>
          <w:b/>
          <w:bCs/>
          <w:sz w:val="28"/>
          <w:szCs w:val="28"/>
        </w:r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8"/>
        <w:tabs>
          <w:tab w:val="right" w:leader="dot" w:pos="8640"/>
        </w:tabs>
      </w:pPr>
      <w:r>
        <w:rPr>
          <w:rFonts w:hint="eastAsia" w:ascii="黑体" w:eastAsia="黑体" w:cs="黑体"/>
          <w:b/>
          <w:bCs/>
          <w:sz w:val="28"/>
          <w:szCs w:val="28"/>
        </w:rPr>
        <w:fldChar w:fldCharType="begin"/>
      </w:r>
      <w:r>
        <w:rPr>
          <w:rFonts w:hint="eastAsia" w:ascii="黑体" w:eastAsia="黑体" w:cs="黑体"/>
          <w:b/>
          <w:bCs/>
          <w:sz w:val="28"/>
          <w:szCs w:val="28"/>
        </w:rPr>
        <w:instrText xml:space="preserve">TOC \o "1-2" \h \u </w:instrText>
      </w:r>
      <w:r>
        <w:rPr>
          <w:rFonts w:hint="eastAsia" w:ascii="黑体" w:eastAsia="黑体" w:cs="黑体"/>
          <w:b/>
          <w:bCs/>
          <w:sz w:val="28"/>
          <w:szCs w:val="28"/>
        </w:rPr>
        <w:fldChar w:fldCharType="separate"/>
      </w:r>
    </w:p>
    <w:p>
      <w:pPr>
        <w:pStyle w:val="8"/>
        <w:tabs>
          <w:tab w:val="right" w:leader="dot" w:pos="8640"/>
        </w:tabs>
        <w:rPr>
          <w:sz w:val="28"/>
          <w:szCs w:val="28"/>
        </w:rPr>
      </w:pPr>
      <w:r>
        <w:fldChar w:fldCharType="begin"/>
      </w:r>
      <w:r>
        <w:instrText xml:space="preserve"> HYPERLINK \l "_Toc31546" </w:instrText>
      </w:r>
      <w:r>
        <w:fldChar w:fldCharType="separate"/>
      </w:r>
      <w:r>
        <w:rPr>
          <w:rFonts w:hint="eastAsia" w:ascii="微软雅黑" w:hAnsi="微软雅黑" w:eastAsia="微软雅黑"/>
          <w:sz w:val="28"/>
          <w:szCs w:val="28"/>
        </w:rPr>
        <w:t>0.背景信息</w:t>
      </w:r>
      <w:r>
        <w:rPr>
          <w:sz w:val="28"/>
          <w:szCs w:val="28"/>
        </w:rPr>
        <w:tab/>
      </w:r>
      <w:r>
        <w:rPr>
          <w:sz w:val="28"/>
          <w:szCs w:val="28"/>
        </w:rPr>
        <w:fldChar w:fldCharType="begin"/>
      </w:r>
      <w:r>
        <w:rPr>
          <w:sz w:val="28"/>
          <w:szCs w:val="28"/>
        </w:rPr>
        <w:instrText xml:space="preserve"> PAGEREF _Toc31546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"_Toc23921" </w:instrText>
      </w:r>
      <w:r>
        <w:fldChar w:fldCharType="separate"/>
      </w:r>
      <w:r>
        <w:rPr>
          <w:rFonts w:hint="eastAsia" w:ascii="微软雅黑" w:hAnsi="微软雅黑" w:eastAsia="微软雅黑"/>
          <w:sz w:val="28"/>
          <w:szCs w:val="28"/>
        </w:rPr>
        <w:t>标准1 培养目标</w:t>
      </w:r>
      <w:r>
        <w:rPr>
          <w:sz w:val="28"/>
          <w:szCs w:val="28"/>
        </w:rPr>
        <w:tab/>
      </w:r>
      <w:r>
        <w:rPr>
          <w:sz w:val="28"/>
          <w:szCs w:val="28"/>
        </w:rPr>
        <w:fldChar w:fldCharType="begin"/>
      </w:r>
      <w:r>
        <w:rPr>
          <w:sz w:val="28"/>
          <w:szCs w:val="28"/>
        </w:rPr>
        <w:instrText xml:space="preserve"> PAGEREF _Toc23921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"_Toc31127"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_Toc31127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"_Toc17915"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_Toc17915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"_Toc700"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_Toc700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"_Toc6497" </w:instrText>
      </w:r>
      <w:r>
        <w:fldChar w:fldCharType="separate"/>
      </w:r>
      <w:r>
        <w:rPr>
          <w:rFonts w:hint="eastAsia" w:ascii="微软雅黑" w:hAnsi="微软雅黑" w:eastAsia="微软雅黑"/>
          <w:sz w:val="28"/>
          <w:szCs w:val="28"/>
        </w:rPr>
        <w:t>标准2毕业要求</w:t>
      </w:r>
      <w:r>
        <w:rPr>
          <w:sz w:val="28"/>
          <w:szCs w:val="28"/>
        </w:rPr>
        <w:tab/>
      </w:r>
      <w:r>
        <w:rPr>
          <w:sz w:val="28"/>
          <w:szCs w:val="28"/>
        </w:rPr>
        <w:fldChar w:fldCharType="begin"/>
      </w:r>
      <w:r>
        <w:rPr>
          <w:sz w:val="28"/>
          <w:szCs w:val="28"/>
        </w:rPr>
        <w:instrText xml:space="preserve"> PAGEREF _Toc6497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"_Toc5798"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_Toc5798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"_Toc9067"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_Toc9067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"_Toc22225"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_Toc22225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"_Toc14637" </w:instrText>
      </w:r>
      <w:r>
        <w:fldChar w:fldCharType="separate"/>
      </w:r>
      <w:r>
        <w:rPr>
          <w:rFonts w:hint="eastAsia" w:ascii="微软雅黑" w:hAnsi="微软雅黑" w:eastAsia="微软雅黑"/>
          <w:sz w:val="28"/>
          <w:szCs w:val="28"/>
        </w:rPr>
        <w:t>标准3课程与教学</w:t>
      </w:r>
      <w:r>
        <w:rPr>
          <w:sz w:val="28"/>
          <w:szCs w:val="28"/>
        </w:rPr>
        <w:tab/>
      </w:r>
      <w:r>
        <w:rPr>
          <w:sz w:val="28"/>
          <w:szCs w:val="28"/>
        </w:rPr>
        <w:fldChar w:fldCharType="begin"/>
      </w:r>
      <w:r>
        <w:rPr>
          <w:sz w:val="28"/>
          <w:szCs w:val="28"/>
        </w:rPr>
        <w:instrText xml:space="preserve"> PAGEREF _Toc14637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"_Toc16229"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_Toc16229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"_Toc31752"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_Toc31752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"_Toc4779"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_Toc4779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"_Toc31180" </w:instrText>
      </w:r>
      <w:r>
        <w:fldChar w:fldCharType="separate"/>
      </w:r>
      <w:r>
        <w:rPr>
          <w:rFonts w:hint="eastAsia" w:ascii="微软雅黑" w:hAnsi="微软雅黑" w:eastAsia="微软雅黑"/>
          <w:sz w:val="28"/>
          <w:szCs w:val="28"/>
        </w:rPr>
        <w:t>标准4合作与实践</w:t>
      </w:r>
      <w:r>
        <w:rPr>
          <w:sz w:val="28"/>
          <w:szCs w:val="28"/>
        </w:rPr>
        <w:tab/>
      </w:r>
      <w:r>
        <w:rPr>
          <w:sz w:val="28"/>
          <w:szCs w:val="28"/>
        </w:rPr>
        <w:fldChar w:fldCharType="begin"/>
      </w:r>
      <w:r>
        <w:rPr>
          <w:sz w:val="28"/>
          <w:szCs w:val="28"/>
        </w:rPr>
        <w:instrText xml:space="preserve"> PAGEREF _Toc31180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"_Toc20794"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_Toc20794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"_Toc15024"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_Toc15024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"_Toc11389"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_Toc11389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"_Toc5178" </w:instrText>
      </w:r>
      <w:r>
        <w:fldChar w:fldCharType="separate"/>
      </w:r>
      <w:r>
        <w:rPr>
          <w:rFonts w:hint="eastAsia" w:ascii="微软雅黑" w:hAnsi="微软雅黑" w:eastAsia="微软雅黑"/>
          <w:sz w:val="28"/>
          <w:szCs w:val="28"/>
        </w:rPr>
        <w:t>标准5师资队伍</w:t>
      </w:r>
      <w:r>
        <w:rPr>
          <w:sz w:val="28"/>
          <w:szCs w:val="28"/>
        </w:rPr>
        <w:tab/>
      </w:r>
      <w:r>
        <w:rPr>
          <w:sz w:val="28"/>
          <w:szCs w:val="28"/>
        </w:rPr>
        <w:fldChar w:fldCharType="begin"/>
      </w:r>
      <w:r>
        <w:rPr>
          <w:sz w:val="28"/>
          <w:szCs w:val="28"/>
        </w:rPr>
        <w:instrText xml:space="preserve"> PAGEREF _Toc5178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"_Toc3716"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_Toc3716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"_Toc4182"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_Toc4182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"_Toc26940"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_Toc26940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"_Toc29224" </w:instrText>
      </w:r>
      <w:r>
        <w:fldChar w:fldCharType="separate"/>
      </w:r>
      <w:r>
        <w:rPr>
          <w:rFonts w:hint="eastAsia" w:ascii="微软雅黑" w:hAnsi="微软雅黑" w:eastAsia="微软雅黑"/>
          <w:sz w:val="28"/>
          <w:szCs w:val="28"/>
        </w:rPr>
        <w:t>标准6支持条件</w:t>
      </w:r>
      <w:r>
        <w:rPr>
          <w:sz w:val="28"/>
          <w:szCs w:val="28"/>
        </w:rPr>
        <w:tab/>
      </w:r>
      <w:r>
        <w:rPr>
          <w:sz w:val="28"/>
          <w:szCs w:val="28"/>
        </w:rPr>
        <w:fldChar w:fldCharType="begin"/>
      </w:r>
      <w:r>
        <w:rPr>
          <w:sz w:val="28"/>
          <w:szCs w:val="28"/>
        </w:rPr>
        <w:instrText xml:space="preserve"> PAGEREF _Toc29224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"_Toc20607"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_Toc20607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"_Toc28248"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_Toc28248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"_Toc15779"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_Toc15779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"_Toc6898" </w:instrText>
      </w:r>
      <w:r>
        <w:fldChar w:fldCharType="separate"/>
      </w:r>
      <w:r>
        <w:rPr>
          <w:rFonts w:hint="eastAsia" w:ascii="微软雅黑" w:hAnsi="微软雅黑" w:eastAsia="微软雅黑"/>
          <w:sz w:val="28"/>
          <w:szCs w:val="28"/>
        </w:rPr>
        <w:t>标准7 质量保障</w:t>
      </w:r>
      <w:r>
        <w:rPr>
          <w:sz w:val="28"/>
          <w:szCs w:val="28"/>
        </w:rPr>
        <w:tab/>
      </w:r>
      <w:r>
        <w:rPr>
          <w:sz w:val="28"/>
          <w:szCs w:val="28"/>
        </w:rPr>
        <w:fldChar w:fldCharType="begin"/>
      </w:r>
      <w:r>
        <w:rPr>
          <w:sz w:val="28"/>
          <w:szCs w:val="28"/>
        </w:rPr>
        <w:instrText xml:space="preserve"> PAGEREF _Toc6898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"_Toc4200"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_Toc4200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"_Toc31500"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_Toc31500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"_Toc16505"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_Toc16505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8"/>
        <w:tabs>
          <w:tab w:val="right" w:leader="dot" w:pos="8640"/>
        </w:tabs>
        <w:rPr>
          <w:sz w:val="28"/>
          <w:szCs w:val="28"/>
        </w:rPr>
      </w:pPr>
      <w:r>
        <w:fldChar w:fldCharType="begin"/>
      </w:r>
      <w:r>
        <w:instrText xml:space="preserve"> HYPERLINK \l "_Toc27857" </w:instrText>
      </w:r>
      <w:r>
        <w:fldChar w:fldCharType="separate"/>
      </w:r>
      <w:r>
        <w:rPr>
          <w:rFonts w:hint="eastAsia" w:ascii="微软雅黑" w:hAnsi="微软雅黑" w:eastAsia="微软雅黑"/>
          <w:sz w:val="28"/>
          <w:szCs w:val="28"/>
        </w:rPr>
        <w:t>标准8学生发展</w:t>
      </w:r>
      <w:r>
        <w:rPr>
          <w:sz w:val="28"/>
          <w:szCs w:val="28"/>
        </w:rPr>
        <w:tab/>
      </w:r>
      <w:r>
        <w:rPr>
          <w:sz w:val="28"/>
          <w:szCs w:val="28"/>
        </w:rPr>
        <w:fldChar w:fldCharType="begin"/>
      </w:r>
      <w:r>
        <w:rPr>
          <w:sz w:val="28"/>
          <w:szCs w:val="28"/>
        </w:rPr>
        <w:instrText xml:space="preserve"> PAGEREF _Toc27857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"_Toc3041" </w:instrText>
      </w:r>
      <w:r>
        <w:fldChar w:fldCharType="separate"/>
      </w:r>
      <w:r>
        <w:rPr>
          <w:rFonts w:hint="eastAsia" w:ascii="微软雅黑" w:hAnsi="微软雅黑" w:eastAsia="微软雅黑"/>
          <w:kern w:val="44"/>
          <w:sz w:val="28"/>
          <w:szCs w:val="28"/>
        </w:rPr>
        <w:t>第一部分：达成情况</w:t>
      </w:r>
      <w:r>
        <w:rPr>
          <w:sz w:val="28"/>
          <w:szCs w:val="28"/>
        </w:rPr>
        <w:tab/>
      </w:r>
      <w:r>
        <w:rPr>
          <w:sz w:val="28"/>
          <w:szCs w:val="28"/>
        </w:rPr>
        <w:fldChar w:fldCharType="begin"/>
      </w:r>
      <w:r>
        <w:rPr>
          <w:sz w:val="28"/>
          <w:szCs w:val="28"/>
        </w:rPr>
        <w:instrText xml:space="preserve"> PAGEREF _Toc3041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"_Toc13468" </w:instrText>
      </w:r>
      <w:r>
        <w:fldChar w:fldCharType="separate"/>
      </w:r>
      <w:r>
        <w:rPr>
          <w:rFonts w:hint="eastAsia" w:ascii="微软雅黑" w:hAnsi="微软雅黑" w:eastAsia="微软雅黑"/>
          <w:kern w:val="44"/>
          <w:sz w:val="28"/>
          <w:szCs w:val="28"/>
        </w:rPr>
        <w:t>第二部分：主要问题</w:t>
      </w:r>
      <w:r>
        <w:rPr>
          <w:sz w:val="28"/>
          <w:szCs w:val="28"/>
        </w:rPr>
        <w:tab/>
      </w:r>
      <w:r>
        <w:rPr>
          <w:sz w:val="28"/>
          <w:szCs w:val="28"/>
        </w:rPr>
        <w:fldChar w:fldCharType="begin"/>
      </w:r>
      <w:r>
        <w:rPr>
          <w:sz w:val="28"/>
          <w:szCs w:val="28"/>
        </w:rPr>
        <w:instrText xml:space="preserve"> PAGEREF _Toc13468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9"/>
        <w:tabs>
          <w:tab w:val="right" w:leader="dot" w:pos="8640"/>
        </w:tabs>
        <w:ind w:left="480"/>
        <w:rPr>
          <w:sz w:val="28"/>
          <w:szCs w:val="28"/>
        </w:rPr>
      </w:pPr>
      <w:r>
        <w:fldChar w:fldCharType="begin"/>
      </w:r>
      <w:r>
        <w:instrText xml:space="preserve"> HYPERLINK \l "_Toc4630" </w:instrText>
      </w:r>
      <w:r>
        <w:fldChar w:fldCharType="separate"/>
      </w:r>
      <w:r>
        <w:rPr>
          <w:rFonts w:hint="eastAsia" w:ascii="微软雅黑" w:hAnsi="微软雅黑" w:eastAsia="微软雅黑"/>
          <w:kern w:val="44"/>
          <w:sz w:val="28"/>
          <w:szCs w:val="28"/>
        </w:rPr>
        <w:t>第三部分：改进措施</w:t>
      </w:r>
      <w:r>
        <w:rPr>
          <w:sz w:val="28"/>
          <w:szCs w:val="28"/>
        </w:rPr>
        <w:tab/>
      </w:r>
      <w:r>
        <w:rPr>
          <w:sz w:val="28"/>
          <w:szCs w:val="28"/>
        </w:rPr>
        <w:fldChar w:fldCharType="begin"/>
      </w:r>
      <w:r>
        <w:rPr>
          <w:sz w:val="28"/>
          <w:szCs w:val="28"/>
        </w:rPr>
        <w:instrText xml:space="preserve"> PAGEREF _Toc4630 </w:instrText>
      </w:r>
      <w:r>
        <w:rPr>
          <w:sz w:val="28"/>
          <w:szCs w:val="28"/>
        </w:rPr>
        <w:fldChar w:fldCharType="separate"/>
      </w:r>
      <w:r>
        <w:rPr>
          <w:sz w:val="28"/>
          <w:szCs w:val="28"/>
        </w:rPr>
        <w:t>32</w:t>
      </w:r>
      <w:r>
        <w:rPr>
          <w:sz w:val="28"/>
          <w:szCs w:val="28"/>
        </w:rPr>
        <w:fldChar w:fldCharType="end"/>
      </w:r>
      <w:r>
        <w:rPr>
          <w:sz w:val="28"/>
          <w:szCs w:val="28"/>
        </w:rPr>
        <w:fldChar w:fldCharType="end"/>
      </w:r>
    </w:p>
    <w:p>
      <w:pPr>
        <w:spacing w:before="156" w:beforeLines="50" w:after="156" w:afterLines="50" w:line="480" w:lineRule="auto"/>
        <w:rPr>
          <w:rFonts w:ascii="黑体" w:eastAsia="黑体" w:cs="黑体"/>
          <w:b/>
          <w:bCs/>
          <w:sz w:val="28"/>
          <w:szCs w:val="28"/>
        </w:rPr>
      </w:pPr>
      <w:r>
        <w:rPr>
          <w:rFonts w:hint="eastAsia" w:ascii="黑体" w:eastAsia="黑体" w:cs="黑体"/>
          <w:bCs/>
          <w:szCs w:val="28"/>
        </w:rPr>
        <w:fldChar w:fldCharType="end"/>
      </w:r>
    </w:p>
    <w:p>
      <w:pPr>
        <w:ind w:firstLine="3626" w:firstLineChars="1290"/>
        <w:rPr>
          <w:rFonts w:ascii="黑体" w:eastAsia="黑体"/>
          <w:b/>
          <w:bCs/>
          <w:sz w:val="28"/>
          <w:szCs w:val="28"/>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pStyle w:val="2"/>
        <w:spacing w:line="240" w:lineRule="auto"/>
      </w:pPr>
      <w:bookmarkStart w:id="9" w:name="_Toc58064528"/>
      <w:bookmarkStart w:id="10" w:name="_Toc31546"/>
      <w:r>
        <w:rPr>
          <w:rFonts w:hint="eastAsia" w:ascii="微软雅黑" w:hAnsi="微软雅黑" w:eastAsia="微软雅黑"/>
          <w:b/>
        </w:rPr>
        <w:t>0.背景信息</w:t>
      </w:r>
      <w:bookmarkEnd w:id="9"/>
      <w:bookmarkEnd w:id="10"/>
    </w:p>
    <w:tbl>
      <w:tblPr>
        <w:tblStyle w:val="11"/>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11"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11"/>
    </w:tbl>
    <w:p>
      <w:pPr>
        <w:ind w:firstLine="480" w:firstLineChars="200"/>
        <w:jc w:val="left"/>
        <w:rPr>
          <w:rFonts w:ascii="楷体" w:hAnsi="楷体" w:cs="宋体"/>
        </w:rPr>
      </w:pPr>
    </w:p>
    <w:p>
      <w:pPr>
        <w:spacing w:line="360" w:lineRule="auto"/>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（1）专业所在学校的简介以及教师教育情况简述（限300字以内）。内容应包括：学校的历史沿革，归属关系，学科布局，本科专业数量，各类全日制在校生规模，专任教师规模及教师教育情况等。</w:t>
      </w:r>
    </w:p>
    <w:p>
      <w:pPr>
        <w:spacing w:line="360" w:lineRule="auto"/>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（2）本专业发展沿革情况（限600字以内）。内容应包括：专业的历史沿革；专业学制和学位、办学地点、目前在校生数、年招生规模；专业师资队伍概况；专业依托学科的情况和基本办学条件。</w:t>
      </w:r>
    </w:p>
    <w:p>
      <w:pPr>
        <w:spacing w:line="360" w:lineRule="auto"/>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360" w:lineRule="auto"/>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（本指南中，除认证标准以外的提示信息在撰写自评报告时无需呈现。）</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pStyle w:val="2"/>
        <w:spacing w:line="240" w:lineRule="auto"/>
        <w:rPr>
          <w:rFonts w:ascii="微软雅黑" w:hAnsi="微软雅黑" w:eastAsia="微软雅黑"/>
          <w:b/>
        </w:rPr>
      </w:pPr>
      <w:bookmarkStart w:id="12" w:name="_Toc58064529"/>
      <w:bookmarkStart w:id="13" w:name="_Toc23921"/>
      <w:r>
        <w:rPr>
          <w:rFonts w:hint="eastAsia" w:ascii="微软雅黑" w:hAnsi="微软雅黑" w:eastAsia="微软雅黑"/>
          <w:b/>
        </w:rPr>
        <w:t>标准1 培养目标</w:t>
      </w:r>
      <w:bookmarkEnd w:id="12"/>
      <w:bookmarkEnd w:id="13"/>
    </w:p>
    <w:p>
      <w:pPr>
        <w:adjustRightInd w:val="0"/>
        <w:snapToGrid w:val="0"/>
        <w:jc w:val="left"/>
        <w:outlineLvl w:val="1"/>
        <w:rPr>
          <w:rFonts w:ascii="微软雅黑" w:hAnsi="微软雅黑" w:eastAsia="微软雅黑"/>
          <w:b/>
          <w:kern w:val="44"/>
          <w:szCs w:val="24"/>
        </w:rPr>
      </w:pPr>
      <w:bookmarkStart w:id="14" w:name="_Toc58064530"/>
      <w:bookmarkStart w:id="15" w:name="_Toc31127"/>
      <w:r>
        <w:rPr>
          <w:rFonts w:hint="eastAsia" w:ascii="微软雅黑" w:hAnsi="微软雅黑" w:eastAsia="微软雅黑"/>
          <w:b/>
          <w:kern w:val="44"/>
          <w:szCs w:val="24"/>
        </w:rPr>
        <w:t>第一部分：达成情况</w:t>
      </w:r>
      <w:bookmarkEnd w:id="14"/>
      <w:bookmarkEnd w:id="15"/>
    </w:p>
    <w:p>
      <w:pPr>
        <w:rPr>
          <w:rFonts w:ascii="仿宋_GB2312" w:hAnsi="仿宋_GB2312" w:eastAsia="仿宋_GB2312" w:cs="仿宋_GB2312"/>
          <w:szCs w:val="24"/>
        </w:rPr>
      </w:pPr>
      <w:r>
        <w:rPr>
          <w:rFonts w:hint="eastAsia" w:ascii="仿宋_GB2312" w:hAnsi="仿宋_GB2312" w:eastAsia="仿宋_GB2312" w:cs="仿宋_GB2312"/>
          <w:szCs w:val="24"/>
        </w:rPr>
        <w:t>（请用数据和事实逐条自证标准条文的达成情况。数据描述以《专业教学基本状态数据分析报告》为依据进行分析和达成说明，事实描述以具体明确的文件、制度、行为、效果等进行评价分析和达成说明）</w:t>
      </w:r>
    </w:p>
    <w:p>
      <w:pPr>
        <w:ind w:firstLine="480" w:firstLineChars="200"/>
        <w:rPr>
          <w:rFonts w:ascii="仿宋_GB2312" w:hAnsi="仿宋_GB2312" w:eastAsia="仿宋_GB2312" w:cs="仿宋_GB2312"/>
          <w:szCs w:val="24"/>
        </w:rPr>
      </w:pPr>
    </w:p>
    <w:p>
      <w:pPr>
        <w:adjustRightInd w:val="0"/>
        <w:snapToGrid w:val="0"/>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1.1［目标定位］培养目标应贯彻党的教育方针，坚持社会主义办学方向，面向国家、地区职业教育改革发展和产业转型升级战略需求，落实国家职业教育改革实施方案和教师教育相关政策要求，培养高素质专业化“双师型”教师，为实施“学历证书+若干职业技能等级证书”制度（1+X证书制度）和国家资历框架储备师资，符合学校办学定位。</w:t>
      </w:r>
    </w:p>
    <w:p>
      <w:pPr>
        <w:spacing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numPr>
          <w:ilvl w:val="0"/>
          <w:numId w:val="2"/>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用单独段落列出本专业的培养目标全文，明确毕业生服务面向、职业能力特征概述与人才定位（明确该目标出自哪版培养方案）。</w:t>
      </w:r>
    </w:p>
    <w:p>
      <w:pPr>
        <w:numPr>
          <w:ilvl w:val="0"/>
          <w:numId w:val="2"/>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描述说明专业培养目标贯彻党的教育方针及落实国家教师教育相关政策和改革要求的情况。</w:t>
      </w:r>
    </w:p>
    <w:p>
      <w:pPr>
        <w:numPr>
          <w:ilvl w:val="0"/>
          <w:numId w:val="2"/>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描述说明专业培养目标与学校本科人才培养目标定位，及与国家、地区职业教育改革发展和产业转型升级战略需求的关系。</w:t>
      </w:r>
    </w:p>
    <w:p>
      <w:pPr>
        <w:numPr>
          <w:ilvl w:val="0"/>
          <w:numId w:val="2"/>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描述说明专业培养目标制定开展了规范有效的调研，并定性或定量分析论证专业培养目标合理性。列表说明调研需求预测与专业培养目标的对应关联关系。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86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3691" w:type="dxa"/>
            <w:vAlign w:val="center"/>
          </w:tcPr>
          <w:p>
            <w:pPr>
              <w:pStyle w:val="20"/>
              <w:spacing w:before="120" w:after="120"/>
              <w:ind w:firstLine="0" w:firstLineChars="0"/>
              <w:jc w:val="center"/>
              <w:rPr>
                <w:rFonts w:ascii="华文楷体" w:hAnsi="华文楷体" w:eastAsia="华文楷体" w:cs="宋体"/>
                <w:b/>
                <w:kern w:val="0"/>
              </w:rPr>
            </w:pPr>
            <w:r>
              <w:rPr>
                <w:rFonts w:hint="eastAsia" w:ascii="华文楷体" w:hAnsi="华文楷体" w:eastAsia="华文楷体" w:cs="宋体"/>
                <w:b/>
                <w:kern w:val="0"/>
              </w:rPr>
              <w:t>目标结构</w:t>
            </w:r>
          </w:p>
        </w:tc>
        <w:tc>
          <w:tcPr>
            <w:tcW w:w="1863" w:type="dxa"/>
            <w:vAlign w:val="center"/>
          </w:tcPr>
          <w:p>
            <w:pPr>
              <w:pStyle w:val="20"/>
              <w:spacing w:before="120" w:after="120"/>
              <w:ind w:firstLine="0" w:firstLineChars="0"/>
              <w:jc w:val="center"/>
              <w:rPr>
                <w:rFonts w:ascii="华文楷体" w:hAnsi="华文楷体" w:eastAsia="华文楷体" w:cs="宋体"/>
                <w:b/>
                <w:kern w:val="0"/>
              </w:rPr>
            </w:pPr>
            <w:r>
              <w:rPr>
                <w:rFonts w:hint="eastAsia" w:ascii="华文楷体" w:hAnsi="华文楷体" w:eastAsia="华文楷体" w:cs="宋体"/>
                <w:b/>
                <w:kern w:val="0"/>
              </w:rPr>
              <w:t>调研需求</w:t>
            </w:r>
            <w:r>
              <w:rPr>
                <w:rFonts w:ascii="华文楷体" w:hAnsi="华文楷体" w:eastAsia="华文楷体" w:cs="宋体"/>
                <w:b/>
                <w:kern w:val="0"/>
              </w:rPr>
              <w:t>预测</w:t>
            </w:r>
          </w:p>
        </w:tc>
        <w:tc>
          <w:tcPr>
            <w:tcW w:w="2236" w:type="dxa"/>
            <w:vAlign w:val="center"/>
          </w:tcPr>
          <w:p>
            <w:pPr>
              <w:pStyle w:val="20"/>
              <w:spacing w:before="120" w:after="120"/>
              <w:ind w:firstLine="0" w:firstLineChars="0"/>
              <w:jc w:val="center"/>
              <w:rPr>
                <w:rFonts w:ascii="华文楷体" w:hAnsi="华文楷体" w:eastAsia="华文楷体" w:cs="宋体"/>
                <w:b/>
                <w:kern w:val="0"/>
              </w:rPr>
            </w:pPr>
            <w:r>
              <w:rPr>
                <w:rFonts w:hint="eastAsia" w:ascii="华文楷体" w:hAnsi="华文楷体" w:eastAsia="华文楷体" w:cs="宋体"/>
                <w:b/>
                <w:kern w:val="0"/>
              </w:rPr>
              <w:t>目标</w:t>
            </w:r>
            <w:r>
              <w:rPr>
                <w:rFonts w:ascii="华文楷体" w:hAnsi="华文楷体" w:eastAsia="华文楷体" w:cs="宋体"/>
                <w:b/>
                <w:kern w:val="0"/>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691" w:type="dxa"/>
            <w:vAlign w:val="center"/>
          </w:tcPr>
          <w:p>
            <w:pPr>
              <w:pStyle w:val="20"/>
              <w:spacing w:before="120" w:after="120"/>
              <w:ind w:firstLine="0" w:firstLineChars="0"/>
              <w:jc w:val="center"/>
              <w:rPr>
                <w:rFonts w:ascii="华文楷体" w:hAnsi="华文楷体" w:eastAsia="华文楷体" w:cs="宋体"/>
                <w:kern w:val="0"/>
              </w:rPr>
            </w:pPr>
            <w:r>
              <w:rPr>
                <w:rFonts w:hint="eastAsia" w:ascii="华文楷体" w:hAnsi="华文楷体" w:eastAsia="华文楷体" w:cs="宋体"/>
                <w:kern w:val="0"/>
              </w:rPr>
              <w:t>服务面向</w:t>
            </w:r>
          </w:p>
        </w:tc>
        <w:tc>
          <w:tcPr>
            <w:tcW w:w="1863" w:type="dxa"/>
            <w:vAlign w:val="center"/>
          </w:tcPr>
          <w:p>
            <w:pPr>
              <w:pStyle w:val="20"/>
              <w:spacing w:before="120" w:after="120"/>
              <w:ind w:firstLine="0" w:firstLineChars="0"/>
              <w:jc w:val="center"/>
              <w:rPr>
                <w:rFonts w:ascii="华文楷体" w:hAnsi="华文楷体" w:eastAsia="华文楷体" w:cs="宋体"/>
                <w:kern w:val="0"/>
              </w:rPr>
            </w:pPr>
          </w:p>
        </w:tc>
        <w:tc>
          <w:tcPr>
            <w:tcW w:w="2236" w:type="dxa"/>
            <w:vAlign w:val="center"/>
          </w:tcPr>
          <w:p>
            <w:pPr>
              <w:pStyle w:val="20"/>
              <w:spacing w:before="120" w:after="120"/>
              <w:ind w:firstLine="0" w:firstLineChars="0"/>
              <w:jc w:val="center"/>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3691" w:type="dxa"/>
            <w:vAlign w:val="center"/>
          </w:tcPr>
          <w:p>
            <w:pPr>
              <w:pStyle w:val="20"/>
              <w:spacing w:before="120" w:after="120" w:line="400" w:lineRule="exact"/>
              <w:ind w:firstLine="0" w:firstLineChars="0"/>
              <w:jc w:val="center"/>
              <w:rPr>
                <w:rFonts w:ascii="华文楷体" w:hAnsi="华文楷体" w:eastAsia="华文楷体" w:cs="宋体"/>
                <w:kern w:val="0"/>
              </w:rPr>
            </w:pPr>
            <w:r>
              <w:rPr>
                <w:rFonts w:hint="eastAsia" w:ascii="华文楷体" w:hAnsi="华文楷体" w:eastAsia="华文楷体" w:cs="宋体"/>
                <w:kern w:val="0"/>
              </w:rPr>
              <w:t>职业</w:t>
            </w:r>
            <w:r>
              <w:rPr>
                <w:rFonts w:ascii="华文楷体" w:hAnsi="华文楷体" w:eastAsia="华文楷体" w:cs="宋体"/>
                <w:kern w:val="0"/>
              </w:rPr>
              <w:t>能力特征</w:t>
            </w:r>
            <w:r>
              <w:rPr>
                <w:rFonts w:hint="eastAsia" w:ascii="华文楷体" w:hAnsi="华文楷体" w:eastAsia="华文楷体" w:cs="宋体"/>
                <w:kern w:val="0"/>
              </w:rPr>
              <w:t>（包括</w:t>
            </w:r>
            <w:r>
              <w:rPr>
                <w:rFonts w:ascii="华文楷体" w:hAnsi="华文楷体" w:eastAsia="华文楷体" w:cs="宋体"/>
                <w:kern w:val="0"/>
              </w:rPr>
              <w:t>知识、能力、</w:t>
            </w:r>
            <w:r>
              <w:rPr>
                <w:rFonts w:hint="eastAsia" w:ascii="华文楷体" w:hAnsi="华文楷体" w:eastAsia="华文楷体" w:cs="宋体"/>
                <w:kern w:val="0"/>
              </w:rPr>
              <w:t>素质</w:t>
            </w:r>
            <w:r>
              <w:rPr>
                <w:rFonts w:ascii="华文楷体" w:hAnsi="华文楷体" w:eastAsia="华文楷体" w:cs="宋体"/>
                <w:kern w:val="0"/>
              </w:rPr>
              <w:t>等</w:t>
            </w:r>
            <w:r>
              <w:rPr>
                <w:rFonts w:hint="eastAsia" w:ascii="华文楷体" w:hAnsi="华文楷体" w:eastAsia="华文楷体" w:cs="宋体"/>
                <w:kern w:val="0"/>
              </w:rPr>
              <w:t>）</w:t>
            </w:r>
          </w:p>
        </w:tc>
        <w:tc>
          <w:tcPr>
            <w:tcW w:w="1863" w:type="dxa"/>
            <w:vAlign w:val="center"/>
          </w:tcPr>
          <w:p>
            <w:pPr>
              <w:pStyle w:val="20"/>
              <w:spacing w:before="120" w:after="120"/>
              <w:ind w:firstLine="0" w:firstLineChars="0"/>
              <w:jc w:val="center"/>
              <w:rPr>
                <w:rFonts w:ascii="华文楷体" w:hAnsi="华文楷体" w:eastAsia="华文楷体" w:cs="宋体"/>
                <w:kern w:val="0"/>
              </w:rPr>
            </w:pPr>
          </w:p>
        </w:tc>
        <w:tc>
          <w:tcPr>
            <w:tcW w:w="2236" w:type="dxa"/>
            <w:vAlign w:val="center"/>
          </w:tcPr>
          <w:p>
            <w:pPr>
              <w:pStyle w:val="20"/>
              <w:spacing w:before="120" w:after="120"/>
              <w:ind w:firstLine="0" w:firstLineChars="0"/>
              <w:jc w:val="center"/>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3691" w:type="dxa"/>
            <w:vAlign w:val="center"/>
          </w:tcPr>
          <w:p>
            <w:pPr>
              <w:pStyle w:val="20"/>
              <w:spacing w:before="120" w:after="120"/>
              <w:ind w:firstLine="0" w:firstLineChars="0"/>
              <w:jc w:val="center"/>
              <w:rPr>
                <w:rFonts w:ascii="华文楷体" w:hAnsi="华文楷体" w:eastAsia="华文楷体" w:cs="宋体"/>
                <w:kern w:val="0"/>
              </w:rPr>
            </w:pPr>
            <w:r>
              <w:rPr>
                <w:rFonts w:hint="eastAsia" w:ascii="华文楷体" w:hAnsi="华文楷体" w:eastAsia="华文楷体" w:cs="宋体"/>
                <w:kern w:val="0"/>
              </w:rPr>
              <w:t>人才</w:t>
            </w:r>
            <w:r>
              <w:rPr>
                <w:rFonts w:ascii="华文楷体" w:hAnsi="华文楷体" w:eastAsia="华文楷体" w:cs="宋体"/>
                <w:kern w:val="0"/>
              </w:rPr>
              <w:t>定位</w:t>
            </w:r>
          </w:p>
        </w:tc>
        <w:tc>
          <w:tcPr>
            <w:tcW w:w="1863" w:type="dxa"/>
            <w:vAlign w:val="center"/>
          </w:tcPr>
          <w:p>
            <w:pPr>
              <w:pStyle w:val="20"/>
              <w:spacing w:before="120" w:after="120"/>
              <w:ind w:firstLine="0" w:firstLineChars="0"/>
              <w:jc w:val="center"/>
              <w:rPr>
                <w:rFonts w:ascii="华文楷体" w:hAnsi="华文楷体" w:eastAsia="华文楷体" w:cs="宋体"/>
                <w:kern w:val="0"/>
              </w:rPr>
            </w:pPr>
          </w:p>
        </w:tc>
        <w:tc>
          <w:tcPr>
            <w:tcW w:w="2236" w:type="dxa"/>
            <w:vAlign w:val="center"/>
          </w:tcPr>
          <w:p>
            <w:pPr>
              <w:pStyle w:val="20"/>
              <w:spacing w:before="120" w:after="120"/>
              <w:ind w:firstLine="0" w:firstLineChars="0"/>
              <w:jc w:val="center"/>
              <w:rPr>
                <w:rFonts w:ascii="华文楷体" w:hAnsi="华文楷体" w:eastAsia="华文楷体" w:cs="宋体"/>
                <w:kern w:val="0"/>
              </w:rPr>
            </w:pPr>
          </w:p>
        </w:tc>
      </w:tr>
    </w:tbl>
    <w:p>
      <w:pPr>
        <w:numPr>
          <w:ilvl w:val="0"/>
          <w:numId w:val="3"/>
        </w:numPr>
        <w:spacing w:line="288" w:lineRule="auto"/>
        <w:rPr>
          <w:rFonts w:ascii="华文楷体" w:hAnsi="华文楷体" w:eastAsia="华文楷体" w:cs="宋体"/>
          <w:b/>
        </w:rPr>
      </w:pPr>
      <w:r>
        <w:rPr>
          <w:rFonts w:hint="eastAsia" w:ascii="华文楷体" w:hAnsi="华文楷体" w:eastAsia="华文楷体" w:cs="宋体"/>
          <w:b/>
        </w:rPr>
        <w:t>需要提供的支撑材料：</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与本专业相关的职业教育改革发展与教师队伍建设需求的调研分析报告，专业培养目标制定和论证资料，含记录性资料（附件中提供资料索引）</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学校人才培养定位的相关文件</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1.2［目标内涵］培养目标内容明确清晰，反映师范生毕业后5年左右在社会和专业领域的发展预期，体现专业特色，并能够为师范生、教师、教学管理人员及其他利益相关方所理解和认同。</w:t>
      </w:r>
    </w:p>
    <w:p>
      <w:pPr>
        <w:spacing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当前执行的培养目标表述明确清晰，预期了师范生毕业后5年左右在岗位领域具有的专业技能与职业素养、在学校环境下能够达到的专业成就及显现的职业发展潜力和竞争力，并举证说明该预期可以达到或实现。</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描述说明当前执行的专业培养目标能够体现专业在人才培养过程中形成的特色和优势。</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描述并举证说明专业采取多种途径让培养目标能够为本专业师范生、教师、教学管理人员及其他利益相关方理解、认同。</w:t>
      </w:r>
    </w:p>
    <w:p>
      <w:pPr>
        <w:spacing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专业培养目标达成、各利益相关方接受认同情况的佐证材料（或具有可信度力的等效证据）</w:t>
      </w:r>
    </w:p>
    <w:p>
      <w:pPr>
        <w:spacing w:line="360" w:lineRule="auto"/>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1.3［目标评价］定期对培养目标的合理性进行评价，并能根据评价结果对培养目标进行必要修订。评价和修订过程有利益相关方参与。</w:t>
      </w:r>
    </w:p>
    <w:p>
      <w:pPr>
        <w:spacing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描述说明专业培养目标合理性定期评价机制，包括评价制度、评价依据、评价周期、评价程序、评价责任机构和责任人、评价结果的形成过程及结果反馈等。</w:t>
      </w:r>
    </w:p>
    <w:p>
      <w:pPr>
        <w:numPr>
          <w:ilvl w:val="0"/>
          <w:numId w:val="4"/>
        </w:numPr>
        <w:spacing w:line="360" w:lineRule="auto"/>
        <w:ind w:left="0"/>
        <w:rPr>
          <w:rFonts w:ascii="仿宋_GB2312" w:hAnsi="仿宋_GB2312" w:eastAsia="仿宋_GB2312" w:cs="仿宋_GB2312"/>
          <w:szCs w:val="24"/>
        </w:rPr>
      </w:pPr>
      <w:bookmarkStart w:id="99" w:name="_GoBack"/>
      <w:r>
        <w:rPr>
          <w:rFonts w:hint="eastAsia" w:ascii="仿宋_GB2312" w:hAnsi="仿宋_GB2312" w:eastAsia="仿宋_GB2312" w:cs="仿宋_GB2312"/>
          <w:szCs w:val="24"/>
        </w:rPr>
        <w:t>说明最近一次培养目标合理性评价的过程和结果。</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关于培养目标修订的相关制度，包括修订周期、修订依据、修订程序、主要参与人员。</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描述说明最近一次专业对培养目标进行修订情况，包括修订时间、内容和依据等，重点说明培养目标合理性评价结果在修订过程中发挥的作用。</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描述说明师范生、教师、教学管理人员和用人单位及其他利益相关方参与专业培养目标合理性评价和修订过程的相关规定，以及在最近一次评价和修订工作中利益相关方发挥的作用。</w:t>
      </w:r>
    </w:p>
    <w:bookmarkEnd w:id="99"/>
    <w:p>
      <w:pPr>
        <w:spacing w:line="288" w:lineRule="auto"/>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学校与院系层面关于培养目标合理性评价和修订的制度文件</w:t>
      </w:r>
    </w:p>
    <w:p>
      <w:pPr>
        <w:numPr>
          <w:ilvl w:val="0"/>
          <w:numId w:val="4"/>
        </w:numPr>
        <w:spacing w:line="360" w:lineRule="auto"/>
        <w:ind w:left="0"/>
        <w:rPr>
          <w:rFonts w:ascii="仿宋_GB2312" w:hAnsi="仿宋_GB2312" w:eastAsia="仿宋_GB2312" w:cs="仿宋_GB2312"/>
          <w:szCs w:val="24"/>
        </w:rPr>
      </w:pPr>
      <w:r>
        <w:rPr>
          <w:rFonts w:hint="eastAsia" w:ascii="仿宋_GB2312" w:hAnsi="仿宋_GB2312" w:eastAsia="仿宋_GB2312" w:cs="仿宋_GB2312"/>
          <w:szCs w:val="24"/>
        </w:rPr>
        <w:t>近3年专业开展培养目标合理性评价和修订的原始材料（附件中提供材料索引）</w:t>
      </w:r>
      <w:bookmarkStart w:id="16" w:name="_Toc58064531"/>
    </w:p>
    <w:p>
      <w:pPr>
        <w:adjustRightInd w:val="0"/>
        <w:snapToGrid w:val="0"/>
        <w:jc w:val="left"/>
        <w:outlineLvl w:val="1"/>
        <w:rPr>
          <w:rFonts w:ascii="微软雅黑" w:hAnsi="微软雅黑" w:eastAsia="微软雅黑"/>
          <w:b/>
          <w:kern w:val="44"/>
          <w:szCs w:val="24"/>
        </w:rPr>
      </w:pPr>
      <w:bookmarkStart w:id="17" w:name="_Toc17915"/>
      <w:r>
        <w:rPr>
          <w:rFonts w:hint="eastAsia" w:ascii="微软雅黑" w:hAnsi="微软雅黑" w:eastAsia="微软雅黑"/>
          <w:b/>
          <w:kern w:val="44"/>
          <w:szCs w:val="24"/>
        </w:rPr>
        <w:t>第二部分：主要问题</w:t>
      </w:r>
      <w:bookmarkEnd w:id="16"/>
      <w:bookmarkEnd w:id="17"/>
    </w:p>
    <w:p>
      <w:pPr>
        <w:spacing w:before="156" w:beforeLines="50" w:after="156" w:afterLines="50"/>
        <w:jc w:val="left"/>
        <w:rPr>
          <w:rFonts w:ascii="楷体" w:hAnsi="楷体" w:cs="楷体"/>
          <w:szCs w:val="28"/>
        </w:rPr>
      </w:pPr>
      <w:bookmarkStart w:id="18"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18"/>
    <w:p>
      <w:pPr>
        <w:jc w:val="left"/>
        <w:rPr>
          <w:rFonts w:ascii="宋体" w:hAnsi="宋体" w:eastAsia="宋体" w:cs="宋体"/>
          <w:szCs w:val="24"/>
        </w:rPr>
      </w:pPr>
      <w:r>
        <w:rPr>
          <w:rFonts w:hint="eastAsia" w:ascii="宋体" w:hAnsi="宋体" w:eastAsia="宋体" w:cs="宋体"/>
          <w:szCs w:val="24"/>
        </w:rPr>
        <w:t xml:space="preserve">1.1[目标定位]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1.2[目标内涵]</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1.3[目标评价]</w:t>
      </w:r>
    </w:p>
    <w:p>
      <w:pPr>
        <w:jc w:val="left"/>
        <w:rPr>
          <w:rFonts w:ascii="宋体" w:hAnsi="宋体" w:eastAsia="宋体" w:cs="宋体"/>
          <w:szCs w:val="24"/>
        </w:rPr>
      </w:pPr>
      <w:r>
        <w:rPr>
          <w:rFonts w:hint="eastAsia" w:ascii="宋体" w:hAnsi="宋体" w:eastAsia="宋体" w:cs="宋体"/>
          <w:szCs w:val="24"/>
        </w:rPr>
        <w:t>……</w:t>
      </w:r>
      <w:bookmarkStart w:id="19" w:name="_Toc58064532"/>
    </w:p>
    <w:p>
      <w:pPr>
        <w:adjustRightInd w:val="0"/>
        <w:snapToGrid w:val="0"/>
        <w:jc w:val="left"/>
        <w:outlineLvl w:val="1"/>
        <w:rPr>
          <w:rFonts w:ascii="微软雅黑" w:hAnsi="微软雅黑" w:eastAsia="微软雅黑"/>
          <w:b/>
          <w:kern w:val="44"/>
          <w:szCs w:val="24"/>
        </w:rPr>
      </w:pPr>
      <w:bookmarkStart w:id="20" w:name="_Toc700"/>
      <w:r>
        <w:rPr>
          <w:rFonts w:hint="eastAsia" w:ascii="微软雅黑" w:hAnsi="微软雅黑" w:eastAsia="微软雅黑"/>
          <w:b/>
          <w:kern w:val="44"/>
          <w:szCs w:val="24"/>
        </w:rPr>
        <w:t>第三部分：改进措施</w:t>
      </w:r>
      <w:bookmarkEnd w:id="19"/>
      <w:bookmarkEnd w:id="20"/>
    </w:p>
    <w:p>
      <w:pPr>
        <w:spacing w:before="156" w:beforeLines="50" w:after="156" w:afterLines="50"/>
        <w:jc w:val="left"/>
        <w:rPr>
          <w:rFonts w:ascii="楷体" w:hAnsi="楷体" w:cs="楷体"/>
          <w:szCs w:val="28"/>
        </w:rPr>
      </w:pPr>
      <w:bookmarkStart w:id="21"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1"/>
    <w:p>
      <w:pPr>
        <w:numPr>
          <w:ilvl w:val="1"/>
          <w:numId w:val="5"/>
        </w:numPr>
        <w:jc w:val="left"/>
        <w:rPr>
          <w:rFonts w:ascii="宋体" w:hAnsi="宋体" w:eastAsia="宋体" w:cs="宋体"/>
          <w:szCs w:val="24"/>
        </w:rPr>
      </w:pPr>
      <w:r>
        <w:rPr>
          <w:rFonts w:hint="eastAsia" w:ascii="宋体" w:hAnsi="宋体" w:eastAsia="宋体" w:cs="宋体"/>
          <w:szCs w:val="24"/>
        </w:rPr>
        <w:t xml:space="preserve">[目标定位] </w:t>
      </w:r>
    </w:p>
    <w:p>
      <w:pPr>
        <w:jc w:val="left"/>
        <w:rPr>
          <w:rFonts w:ascii="宋体" w:hAnsi="宋体" w:eastAsia="宋体" w:cs="宋体"/>
          <w:szCs w:val="24"/>
        </w:rPr>
      </w:pPr>
      <w:r>
        <w:rPr>
          <w:rFonts w:hint="eastAsia" w:ascii="宋体" w:hAnsi="宋体" w:eastAsia="宋体" w:cs="宋体"/>
          <w:szCs w:val="24"/>
        </w:rPr>
        <w:t>……</w:t>
      </w:r>
    </w:p>
    <w:p>
      <w:pPr>
        <w:numPr>
          <w:ilvl w:val="1"/>
          <w:numId w:val="5"/>
        </w:numPr>
        <w:jc w:val="left"/>
        <w:rPr>
          <w:rFonts w:ascii="宋体" w:hAnsi="宋体" w:eastAsia="宋体" w:cs="宋体"/>
          <w:szCs w:val="24"/>
        </w:rPr>
      </w:pPr>
      <w:r>
        <w:rPr>
          <w:rFonts w:hint="eastAsia" w:ascii="宋体" w:hAnsi="宋体" w:eastAsia="宋体" w:cs="宋体"/>
          <w:szCs w:val="24"/>
        </w:rPr>
        <w:t xml:space="preserve">[目标内涵] </w:t>
      </w:r>
    </w:p>
    <w:p>
      <w:pPr>
        <w:jc w:val="left"/>
        <w:rPr>
          <w:rFonts w:ascii="宋体" w:hAnsi="宋体" w:eastAsia="宋体" w:cs="宋体"/>
          <w:szCs w:val="24"/>
        </w:rPr>
      </w:pPr>
      <w:r>
        <w:rPr>
          <w:rFonts w:hint="eastAsia" w:ascii="宋体" w:hAnsi="宋体" w:eastAsia="宋体" w:cs="宋体"/>
          <w:szCs w:val="24"/>
        </w:rPr>
        <w:t>……</w:t>
      </w:r>
    </w:p>
    <w:p>
      <w:pPr>
        <w:numPr>
          <w:ilvl w:val="1"/>
          <w:numId w:val="5"/>
        </w:numPr>
        <w:jc w:val="left"/>
        <w:rPr>
          <w:rFonts w:ascii="宋体" w:hAnsi="宋体" w:eastAsia="宋体" w:cs="宋体"/>
          <w:szCs w:val="24"/>
        </w:rPr>
      </w:pPr>
      <w:r>
        <w:rPr>
          <w:rFonts w:hint="eastAsia" w:ascii="宋体" w:hAnsi="宋体" w:eastAsia="宋体" w:cs="宋体"/>
          <w:szCs w:val="24"/>
        </w:rPr>
        <w:t>[目标评价]</w:t>
      </w:r>
    </w:p>
    <w:p>
      <w:pPr>
        <w:jc w:val="left"/>
        <w:rPr>
          <w:rFonts w:ascii="宋体" w:hAnsi="宋体" w:eastAsia="宋体" w:cs="宋体"/>
          <w:szCs w:val="24"/>
        </w:rPr>
      </w:pPr>
      <w:r>
        <w:rPr>
          <w:rFonts w:hint="eastAsia" w:ascii="宋体" w:hAnsi="宋体" w:eastAsia="宋体" w:cs="宋体"/>
          <w:szCs w:val="24"/>
        </w:rPr>
        <w:t>……</w:t>
      </w:r>
      <w:bookmarkStart w:id="22" w:name="_Toc58064533"/>
    </w:p>
    <w:p>
      <w:pPr>
        <w:pStyle w:val="2"/>
        <w:spacing w:line="240" w:lineRule="auto"/>
        <w:rPr>
          <w:rFonts w:ascii="微软雅黑" w:hAnsi="微软雅黑" w:eastAsia="微软雅黑"/>
          <w:b/>
        </w:rPr>
      </w:pPr>
      <w:bookmarkStart w:id="23" w:name="_Toc6497"/>
      <w:r>
        <w:rPr>
          <w:rFonts w:hint="eastAsia" w:ascii="微软雅黑" w:hAnsi="微软雅黑" w:eastAsia="微软雅黑"/>
          <w:b/>
        </w:rPr>
        <w:t>标准2毕业要求</w:t>
      </w:r>
      <w:bookmarkEnd w:id="22"/>
      <w:bookmarkEnd w:id="23"/>
    </w:p>
    <w:p>
      <w:pPr>
        <w:jc w:val="left"/>
        <w:rPr>
          <w:rFonts w:ascii="微软雅黑" w:hAnsi="微软雅黑" w:eastAsia="微软雅黑"/>
          <w:b/>
          <w:bCs/>
          <w:szCs w:val="24"/>
        </w:rPr>
      </w:pPr>
      <w:r>
        <w:rPr>
          <w:rFonts w:hint="eastAsia" w:ascii="微软雅黑" w:hAnsi="微软雅黑" w:eastAsia="微软雅黑"/>
          <w:b/>
          <w:bCs/>
          <w:szCs w:val="24"/>
          <w:lang w:val="zh-CN"/>
        </w:rPr>
        <w:t>2.0毕业要求落实评价</w:t>
      </w:r>
    </w:p>
    <w:p>
      <w:pPr>
        <w:adjustRightInd w:val="0"/>
        <w:snapToGrid w:val="0"/>
        <w:rPr>
          <w:rFonts w:ascii="宋体" w:hAnsi="宋体" w:eastAsia="宋体" w:cs="宋体"/>
          <w:szCs w:val="24"/>
        </w:rPr>
      </w:pPr>
      <w:r>
        <w:rPr>
          <w:rFonts w:hint="eastAsia" w:ascii="宋体" w:hAnsi="宋体" w:eastAsia="宋体" w:cs="宋体"/>
          <w:szCs w:val="24"/>
        </w:rPr>
        <w:t>专业应根据中等职业学校教师专业标准，制定明确、公开的毕业要求。毕业要求能够支撑培养目标，并在师范生培养全过程中分解落实。专业应通过评价证明毕业要求达成。专业制定的毕业要求应涵盖以下内容：</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■践行师德</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2.1［师德规范］践行社会主义核心价值观，增进对中国特色社会主义的思想认同、政治认同、理论认同和情感认同。贯彻党的教育方针，以立德树人为己任。遵守《新时代中小学教师职业行为十项准则》，具有依法执教意识，立志成为有理想信念、有道德情操、有扎实学识、有仁爱之心的好老师。</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2.2［教育情怀］热爱职业教育事业，具有职业理想和从教意愿，认同教师工作的意义和专业性，具有积极的情感、端正的态度、正确的价值观。具有人文底蕴和科学精神，树立人人成才观念，尊重学生人格，培育学生自信心，富有爱心、责任心，工作细心、耐心，做学生锤炼品格、学习知识、创新思维、奉献祖国的引路人。</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2.3［工匠精神］树立质量意识、服务意识、责任意识和创新意识。秉承爱岗敬业、诚实守信、精益求精等职业精神。弘扬劳动光荣、技能宝贵、创造伟大的时代风尚。</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■学会教学</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2.4［专业知识和能力］比较系统地掌握本专业必需的基础理论和基本知识，掌握本专业的基本技能和必要方法。了解本专业相关的职业背景知识。具有从事本专业实际工作和研究工作的初步能力。</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2.5［专业实践能力］熟悉与本专业相关的职业标准，掌握技术技能形成规律，具备较熟练的实际操作技能，考取专业相关职业技能等级证书或职业资格证书等。</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2.6［教学能力］熟悉中等职业学校专业教学标准和基于行动导向的教学方法。在教育教学实践中，能够针对中等职业学校学生身心发展和专业认知特点，引导学生德技双修，运用教育教学知识和信息技术进行教学设计、实施和评价，指导学生学习和实践，获得教学体验，具备教学基本技能，具有初步的教学能力和一定的教学研究能力。</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■学会育人</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2.7［班级指导］树立德育为先理念，了解中等职业学校德育工作的原理与方法，掌握班级组织与建设的工作规律和基本方法。能够在班主任工作实践中，参与德育和心理健康教育等教育活动的组织与指导，在学生中弘扬劳动精神，教育引导学生崇尚劳动、尊重劳动，获得积极体验。</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2.8［综合育人］具有全程育人、全方位育人意识，掌握中等职业学校学生身心发展和养成教育规律，能够有机结合专业教学进行同向同行育人活动。了解职业学校文化和教育活动的育人内涵和方法。有参与组织主题教育、劳动教育和社团活动，对学生进行教育和引导的初步体验。</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2.9［职业指导］了解国家就业形势和政策，掌握职业指导知识和方法；掌握创新创业基本知识和方法。有参与职业指导或指导学生创新活动的初步体验。</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■学会发展</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2.10［学会反思］具有终身学习与专业发展意识。了解国内外职业教育改革发展动态，能够适应时代和职业教育发展需求，进行学习和职业生涯规划。初步掌握反思方法和技能，运用批判性思维方法，学会分析和解决教育教学问题。</w:t>
      </w: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　　2.11［沟通合作］理解学习共同体的作用，具有团队协作精神，掌握沟通合作技能，具有小组互助和合作学习体验。在专业实践活动中，具有与行业企业沟通合作的体验。</w:t>
      </w:r>
    </w:p>
    <w:p>
      <w:pPr>
        <w:adjustRightInd w:val="0"/>
        <w:snapToGrid w:val="0"/>
        <w:rPr>
          <w:rFonts w:ascii="宋体" w:hAnsi="宋体" w:eastAsia="宋体" w:cs="宋体"/>
          <w:szCs w:val="24"/>
        </w:rPr>
      </w:pPr>
    </w:p>
    <w:p>
      <w:pPr>
        <w:adjustRightInd w:val="0"/>
        <w:snapToGrid w:val="0"/>
        <w:jc w:val="left"/>
        <w:outlineLvl w:val="1"/>
        <w:rPr>
          <w:rFonts w:ascii="微软雅黑" w:hAnsi="微软雅黑" w:eastAsia="微软雅黑"/>
          <w:b/>
          <w:kern w:val="44"/>
          <w:szCs w:val="24"/>
        </w:rPr>
      </w:pPr>
      <w:bookmarkStart w:id="24" w:name="_Toc5798"/>
      <w:bookmarkStart w:id="25" w:name="_Toc58064534"/>
      <w:r>
        <w:rPr>
          <w:rFonts w:hint="eastAsia" w:ascii="微软雅黑" w:hAnsi="微软雅黑" w:eastAsia="微软雅黑"/>
          <w:b/>
          <w:kern w:val="44"/>
          <w:szCs w:val="24"/>
        </w:rPr>
        <w:t>第一部分：达成情况</w:t>
      </w:r>
      <w:bookmarkEnd w:id="24"/>
      <w:bookmarkEnd w:id="25"/>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单独段落列出专业制定的毕业要求全文（注：毕业要求与培养目标应出自同版培养方案）。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列表说明专业毕业要求对培养目标的对应支撑情况并简要分析内涵关联关系。</w:t>
      </w:r>
    </w:p>
    <w:tbl>
      <w:tblPr>
        <w:tblStyle w:val="1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p>
        </w:tc>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156"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r>
    </w:tbl>
    <w:p>
      <w:pPr>
        <w:jc w:val="left"/>
        <w:rPr>
          <w:rFonts w:ascii="楷体" w:hAnsi="楷体" w:cs="宋体"/>
        </w:rPr>
      </w:pP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专业毕业要求对认证标准“毕业要求”11条（2.1-2.11）的覆盖情况并进行分析（专业不宜照搬这11条要求，而应结合本专业培养目标制定具有专业特点的毕业要求，并在广度、深度和程度上完全覆盖认证标准11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专业毕业要求与认证标准毕业要求11条对照表</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p>
        </w:tc>
        <w:tc>
          <w:tcPr>
            <w:tcW w:w="4252" w:type="dxa"/>
            <w:vAlign w:val="center"/>
          </w:tcPr>
          <w:p>
            <w:pPr>
              <w:pStyle w:val="20"/>
              <w:spacing w:before="156" w:beforeLines="50"/>
              <w:ind w:firstLine="0" w:firstLineChars="0"/>
              <w:jc w:val="center"/>
              <w:rPr>
                <w:rFonts w:ascii="宋体" w:hAnsi="宋体" w:cs="Times New Roman"/>
              </w:rPr>
            </w:pPr>
          </w:p>
        </w:tc>
      </w:tr>
    </w:tbl>
    <w:p>
      <w:pPr>
        <w:jc w:val="left"/>
        <w:rPr>
          <w:rFonts w:ascii="楷体" w:hAnsi="楷体" w:cs="宋体"/>
        </w:rPr>
      </w:pP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对每项毕业要求的内涵进行合理分解，形成可教、可学、可评、可达成的指标点，每项毕业要求可分解成多个指标点（建议不多于4个），分解后的指标点需要有名称和指标点能力描述并可衡量。</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ascii="宋体" w:hAnsi="宋体" w:eastAsia="华文楷体" w:cs="Times New Roman"/>
                <w:kern w:val="0"/>
                <w:szCs w:val="24"/>
              </w:rPr>
            </w:pPr>
            <w:r>
              <w:rPr>
                <w:rFonts w:hint="eastAsia" w:ascii="宋体" w:hAnsi="宋体" w:cs="Times New Roman"/>
                <w:kern w:val="0"/>
              </w:rPr>
              <w:t>专业的</w:t>
            </w:r>
            <w:r>
              <w:rPr>
                <w:rFonts w:hint="eastAsia" w:ascii="宋体" w:hAnsi="宋体" w:eastAsia="华文楷体" w:cs="Times New Roman"/>
                <w:kern w:val="0"/>
                <w:szCs w:val="24"/>
              </w:rPr>
              <w:t>毕业要求</w:t>
            </w:r>
          </w:p>
        </w:tc>
        <w:tc>
          <w:tcPr>
            <w:tcW w:w="5812" w:type="dxa"/>
          </w:tcPr>
          <w:p>
            <w:pPr>
              <w:pStyle w:val="20"/>
              <w:spacing w:before="156" w:beforeLines="50" w:after="156" w:afterLines="50"/>
              <w:ind w:firstLine="0" w:firstLineChars="0"/>
              <w:jc w:val="left"/>
              <w:rPr>
                <w:rFonts w:ascii="宋体" w:hAnsi="宋体" w:eastAsia="华文楷体" w:cs="Times New Roman"/>
                <w:kern w:val="0"/>
                <w:szCs w:val="24"/>
              </w:rPr>
            </w:pPr>
            <w:r>
              <w:rPr>
                <w:rFonts w:hint="eastAsia" w:ascii="宋体" w:hAnsi="宋体" w:eastAsia="华文楷体" w:cs="Times New Roman"/>
                <w:kern w:val="0"/>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ascii="宋体" w:hAnsi="宋体" w:eastAsia="华文楷体" w:cs="Times New Roman"/>
                <w:kern w:val="0"/>
                <w:szCs w:val="24"/>
              </w:rPr>
            </w:pPr>
            <w:r>
              <w:rPr>
                <w:rFonts w:hint="eastAsia" w:ascii="宋体" w:hAnsi="宋体" w:eastAsia="华文楷体" w:cs="Times New Roman"/>
                <w:kern w:val="0"/>
                <w:szCs w:val="24"/>
              </w:rPr>
              <w:t>【</w:t>
            </w:r>
            <w:r>
              <w:rPr>
                <w:rFonts w:ascii="宋体" w:hAnsi="宋体" w:eastAsia="华文楷体" w:cs="Times New Roman"/>
                <w:kern w:val="0"/>
                <w:szCs w:val="24"/>
              </w:rPr>
              <w:t>2.1</w:t>
            </w:r>
            <w:r>
              <w:rPr>
                <w:rFonts w:hint="eastAsia" w:ascii="宋体" w:hAnsi="宋体" w:eastAsia="华文楷体" w:cs="Times New Roman"/>
                <w:kern w:val="0"/>
                <w:szCs w:val="24"/>
              </w:rPr>
              <w:t>师德规范】……</w:t>
            </w:r>
          </w:p>
        </w:tc>
        <w:tc>
          <w:tcPr>
            <w:tcW w:w="5812" w:type="dxa"/>
          </w:tcPr>
          <w:p>
            <w:pPr>
              <w:pStyle w:val="20"/>
              <w:spacing w:before="156" w:beforeLines="50"/>
              <w:ind w:firstLine="0" w:firstLineChars="0"/>
              <w:jc w:val="left"/>
              <w:rPr>
                <w:rFonts w:ascii="宋体" w:hAnsi="宋体" w:cs="Times New Roman"/>
                <w:kern w:val="0"/>
              </w:rPr>
            </w:pPr>
            <w:r>
              <w:rPr>
                <w:rFonts w:hint="eastAsia" w:ascii="宋体" w:hAnsi="宋体" w:cs="Times New Roman"/>
                <w:kern w:val="0"/>
              </w:rPr>
              <w:t>【</w:t>
            </w:r>
            <w:r>
              <w:rPr>
                <w:rFonts w:ascii="宋体" w:hAnsi="宋体" w:cs="Times New Roman"/>
                <w:kern w:val="0"/>
              </w:rPr>
              <w:t>2.1.1***</w:t>
            </w:r>
            <w:r>
              <w:rPr>
                <w:rFonts w:hint="eastAsia" w:ascii="宋体" w:hAnsi="宋体"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kern w:val="0"/>
                <w:szCs w:val="24"/>
              </w:rPr>
            </w:pPr>
          </w:p>
        </w:tc>
        <w:tc>
          <w:tcPr>
            <w:tcW w:w="5812" w:type="dxa"/>
          </w:tcPr>
          <w:p>
            <w:pPr>
              <w:pStyle w:val="20"/>
              <w:spacing w:before="156" w:beforeLines="50"/>
              <w:ind w:firstLine="0" w:firstLineChars="0"/>
              <w:jc w:val="left"/>
              <w:rPr>
                <w:rFonts w:ascii="宋体" w:hAnsi="宋体" w:cs="Times New Roman"/>
                <w:kern w:val="0"/>
              </w:rPr>
            </w:pPr>
            <w:r>
              <w:rPr>
                <w:rFonts w:hint="eastAsia" w:ascii="宋体" w:hAnsi="宋体" w:cs="Times New Roman"/>
                <w:kern w:val="0"/>
              </w:rPr>
              <w:t>【</w:t>
            </w:r>
            <w:r>
              <w:rPr>
                <w:rFonts w:ascii="宋体" w:hAnsi="宋体" w:cs="Times New Roman"/>
                <w:kern w:val="0"/>
              </w:rPr>
              <w:t>2.1.2***</w:t>
            </w:r>
            <w:r>
              <w:rPr>
                <w:rFonts w:hint="eastAsia" w:ascii="宋体" w:hAnsi="宋体"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kern w:val="0"/>
                <w:szCs w:val="24"/>
              </w:rPr>
            </w:pPr>
          </w:p>
        </w:tc>
        <w:tc>
          <w:tcPr>
            <w:tcW w:w="5812" w:type="dxa"/>
          </w:tcPr>
          <w:p>
            <w:pPr>
              <w:pStyle w:val="20"/>
              <w:spacing w:before="156" w:beforeLines="50"/>
              <w:ind w:firstLine="0" w:firstLineChars="0"/>
              <w:jc w:val="left"/>
              <w:rPr>
                <w:rFonts w:ascii="宋体" w:hAnsi="宋体" w:cs="Times New Roman"/>
                <w:kern w:val="0"/>
              </w:rPr>
            </w:pPr>
            <w:r>
              <w:rPr>
                <w:rFonts w:hint="eastAsia" w:ascii="宋体" w:hAnsi="宋体" w:cs="Times New Roman"/>
                <w:kern w:val="0"/>
              </w:rPr>
              <w:t>【</w:t>
            </w:r>
            <w:r>
              <w:rPr>
                <w:rFonts w:ascii="宋体" w:hAnsi="宋体" w:cs="Times New Roman"/>
                <w:kern w:val="0"/>
              </w:rPr>
              <w:t>2.1.3***</w:t>
            </w:r>
            <w:r>
              <w:rPr>
                <w:rFonts w:hint="eastAsia" w:ascii="宋体" w:hAnsi="宋体"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kern w:val="0"/>
                <w:szCs w:val="24"/>
              </w:rPr>
            </w:pPr>
            <w:r>
              <w:rPr>
                <w:rFonts w:hint="eastAsia" w:ascii="宋体" w:hAnsi="宋体" w:eastAsia="华文楷体" w:cs="Times New Roman"/>
                <w:kern w:val="0"/>
                <w:szCs w:val="24"/>
              </w:rPr>
              <w:t>【</w:t>
            </w:r>
            <w:r>
              <w:rPr>
                <w:rFonts w:ascii="宋体" w:hAnsi="宋体" w:eastAsia="华文楷体" w:cs="Times New Roman"/>
                <w:kern w:val="0"/>
                <w:szCs w:val="24"/>
              </w:rPr>
              <w:t>2.2</w:t>
            </w:r>
            <w:r>
              <w:rPr>
                <w:rFonts w:hint="eastAsia" w:ascii="宋体" w:hAnsi="宋体" w:eastAsia="华文楷体" w:cs="Times New Roman"/>
                <w:kern w:val="0"/>
                <w:szCs w:val="24"/>
              </w:rPr>
              <w:t>教育情怀】……</w:t>
            </w:r>
          </w:p>
        </w:tc>
        <w:tc>
          <w:tcPr>
            <w:tcW w:w="5812" w:type="dxa"/>
          </w:tcPr>
          <w:p>
            <w:pPr>
              <w:pStyle w:val="20"/>
              <w:spacing w:before="156" w:beforeLines="50" w:after="156" w:afterLines="50"/>
              <w:ind w:firstLine="0" w:firstLineChars="0"/>
              <w:jc w:val="left"/>
              <w:rPr>
                <w:rFonts w:ascii="宋体" w:hAnsi="宋体" w:eastAsia="华文楷体" w:cs="Times New Roman"/>
                <w:kern w:val="0"/>
                <w:szCs w:val="24"/>
              </w:rPr>
            </w:pPr>
            <w:r>
              <w:rPr>
                <w:rFonts w:hint="eastAsia" w:ascii="宋体" w:hAnsi="宋体" w:eastAsia="华文楷体" w:cs="Times New Roman"/>
                <w:kern w:val="0"/>
                <w:szCs w:val="24"/>
              </w:rPr>
              <w:t>【</w:t>
            </w:r>
            <w:r>
              <w:rPr>
                <w:rFonts w:ascii="宋体" w:hAnsi="宋体" w:eastAsia="华文楷体" w:cs="Times New Roman"/>
                <w:kern w:val="0"/>
                <w:szCs w:val="24"/>
              </w:rPr>
              <w:t>2.2.1***</w:t>
            </w:r>
            <w:r>
              <w:rPr>
                <w:rFonts w:hint="eastAsia" w:ascii="宋体" w:hAnsi="宋体" w:eastAsia="华文楷体" w:cs="Times New Roman"/>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kern w:val="0"/>
                <w:szCs w:val="24"/>
              </w:rPr>
            </w:pPr>
            <w:r>
              <w:rPr>
                <w:rFonts w:hint="eastAsia" w:ascii="宋体" w:hAnsi="宋体" w:eastAsia="华文楷体" w:cs="Times New Roman"/>
                <w:kern w:val="0"/>
                <w:szCs w:val="24"/>
              </w:rPr>
              <w:t>……</w:t>
            </w:r>
          </w:p>
        </w:tc>
        <w:tc>
          <w:tcPr>
            <w:tcW w:w="5812" w:type="dxa"/>
          </w:tcPr>
          <w:p>
            <w:pPr>
              <w:numPr>
                <w:ilvl w:val="0"/>
                <w:numId w:val="4"/>
              </w:numPr>
              <w:ind w:left="0"/>
              <w:rPr>
                <w:rFonts w:ascii="宋体" w:hAnsi="宋体"/>
                <w:kern w:val="0"/>
                <w:szCs w:val="20"/>
              </w:rPr>
            </w:pPr>
          </w:p>
        </w:tc>
      </w:tr>
    </w:tbl>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逐条描述说明专业毕业要求达成情况，填写最近一次专业毕业要求达成评价结果表（可使用认证标准7.2内部监控有关毕业要求达成评价相关信息举证）。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Merge w:val="restart"/>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毕业要求</w:t>
            </w:r>
          </w:p>
        </w:tc>
        <w:tc>
          <w:tcPr>
            <w:tcW w:w="3408" w:type="dxa"/>
            <w:gridSpan w:val="2"/>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毕业要求达成</w:t>
            </w:r>
            <w:r>
              <w:rPr>
                <w:rFonts w:hint="eastAsia" w:ascii="华文楷体" w:hAnsi="华文楷体" w:eastAsia="华文楷体"/>
                <w:kern w:val="0"/>
                <w:szCs w:val="24"/>
              </w:rPr>
              <w:t>评价</w:t>
            </w:r>
            <w:r>
              <w:rPr>
                <w:rFonts w:ascii="华文楷体" w:hAnsi="华文楷体" w:eastAsia="华文楷体"/>
                <w:kern w:val="0"/>
                <w:szCs w:val="24"/>
              </w:rPr>
              <w:t>方法</w:t>
            </w:r>
          </w:p>
        </w:tc>
        <w:tc>
          <w:tcPr>
            <w:tcW w:w="1704" w:type="dxa"/>
            <w:vMerge w:val="restart"/>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达成期望</w:t>
            </w:r>
          </w:p>
          <w:p>
            <w:pPr>
              <w:adjustRightInd w:val="0"/>
              <w:snapToGrid w:val="0"/>
              <w:jc w:val="center"/>
              <w:rPr>
                <w:rFonts w:ascii="华文楷体" w:hAnsi="华文楷体" w:eastAsia="华文楷体"/>
                <w:kern w:val="0"/>
                <w:szCs w:val="24"/>
              </w:rPr>
            </w:pPr>
            <w:r>
              <w:rPr>
                <w:rFonts w:hint="eastAsia" w:ascii="华文楷体" w:hAnsi="华文楷体" w:eastAsia="华文楷体"/>
                <w:kern w:val="0"/>
                <w:szCs w:val="24"/>
              </w:rPr>
              <w:t>（定量</w:t>
            </w:r>
            <w:r>
              <w:rPr>
                <w:rFonts w:ascii="华文楷体" w:hAnsi="华文楷体" w:eastAsia="华文楷体"/>
                <w:kern w:val="0"/>
                <w:szCs w:val="24"/>
              </w:rPr>
              <w:t>值、定性达成描述</w:t>
            </w:r>
            <w:r>
              <w:rPr>
                <w:rFonts w:hint="eastAsia" w:ascii="华文楷体" w:hAnsi="华文楷体" w:eastAsia="华文楷体"/>
                <w:kern w:val="0"/>
                <w:szCs w:val="24"/>
              </w:rPr>
              <w:t>）</w:t>
            </w:r>
          </w:p>
        </w:tc>
        <w:tc>
          <w:tcPr>
            <w:tcW w:w="1705" w:type="dxa"/>
            <w:vMerge w:val="restart"/>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Merge w:val="continue"/>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直接评价</w:t>
            </w:r>
          </w:p>
        </w:tc>
        <w:tc>
          <w:tcPr>
            <w:tcW w:w="1704" w:type="dxa"/>
            <w:vAlign w:val="center"/>
          </w:tcPr>
          <w:p>
            <w:pPr>
              <w:adjustRightInd w:val="0"/>
              <w:snapToGrid w:val="0"/>
              <w:jc w:val="center"/>
              <w:rPr>
                <w:rFonts w:ascii="华文楷体" w:hAnsi="华文楷体" w:eastAsia="华文楷体"/>
                <w:kern w:val="0"/>
                <w:szCs w:val="24"/>
              </w:rPr>
            </w:pPr>
            <w:r>
              <w:rPr>
                <w:rFonts w:ascii="华文楷体" w:hAnsi="华文楷体" w:eastAsia="华文楷体"/>
                <w:kern w:val="0"/>
                <w:szCs w:val="24"/>
              </w:rPr>
              <w:t>间接评价</w:t>
            </w:r>
          </w:p>
        </w:tc>
        <w:tc>
          <w:tcPr>
            <w:tcW w:w="1704" w:type="dxa"/>
            <w:vMerge w:val="continue"/>
            <w:vAlign w:val="center"/>
          </w:tcPr>
          <w:p>
            <w:pPr>
              <w:adjustRightInd w:val="0"/>
              <w:snapToGrid w:val="0"/>
              <w:jc w:val="center"/>
              <w:rPr>
                <w:rFonts w:ascii="华文楷体" w:hAnsi="华文楷体" w:eastAsia="华文楷体"/>
                <w:kern w:val="0"/>
                <w:szCs w:val="24"/>
              </w:rPr>
            </w:pPr>
          </w:p>
        </w:tc>
        <w:tc>
          <w:tcPr>
            <w:tcW w:w="1705" w:type="dxa"/>
            <w:vMerge w:val="continue"/>
            <w:vAlign w:val="center"/>
          </w:tcPr>
          <w:p>
            <w:pPr>
              <w:adjustRightInd w:val="0"/>
              <w:snapToGrid w:val="0"/>
              <w:jc w:val="center"/>
              <w:rPr>
                <w:rFonts w:ascii="华文楷体" w:hAnsi="华文楷体" w:eastAsia="华文楷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5" w:type="dxa"/>
            <w:vAlign w:val="center"/>
          </w:tcPr>
          <w:p>
            <w:pPr>
              <w:adjustRightInd w:val="0"/>
              <w:snapToGrid w:val="0"/>
              <w:jc w:val="center"/>
              <w:rPr>
                <w:rFonts w:ascii="华文楷体" w:hAnsi="华文楷体" w:eastAsia="华文楷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5" w:type="dxa"/>
            <w:vAlign w:val="center"/>
          </w:tcPr>
          <w:p>
            <w:pPr>
              <w:adjustRightInd w:val="0"/>
              <w:snapToGrid w:val="0"/>
              <w:jc w:val="center"/>
              <w:rPr>
                <w:rFonts w:ascii="华文楷体" w:hAnsi="华文楷体" w:eastAsia="华文楷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5" w:type="dxa"/>
            <w:vAlign w:val="center"/>
          </w:tcPr>
          <w:p>
            <w:pPr>
              <w:adjustRightInd w:val="0"/>
              <w:snapToGrid w:val="0"/>
              <w:jc w:val="center"/>
              <w:rPr>
                <w:rFonts w:ascii="华文楷体" w:hAnsi="华文楷体" w:eastAsia="华文楷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5" w:type="dxa"/>
            <w:vAlign w:val="center"/>
          </w:tcPr>
          <w:p>
            <w:pPr>
              <w:adjustRightInd w:val="0"/>
              <w:snapToGrid w:val="0"/>
              <w:jc w:val="center"/>
              <w:rPr>
                <w:rFonts w:ascii="华文楷体" w:hAnsi="华文楷体" w:eastAsia="华文楷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4" w:type="dxa"/>
            <w:vAlign w:val="center"/>
          </w:tcPr>
          <w:p>
            <w:pPr>
              <w:adjustRightInd w:val="0"/>
              <w:snapToGrid w:val="0"/>
              <w:jc w:val="center"/>
              <w:rPr>
                <w:rFonts w:ascii="华文楷体" w:hAnsi="华文楷体" w:eastAsia="华文楷体"/>
                <w:kern w:val="0"/>
                <w:szCs w:val="24"/>
              </w:rPr>
            </w:pPr>
          </w:p>
        </w:tc>
        <w:tc>
          <w:tcPr>
            <w:tcW w:w="1705" w:type="dxa"/>
            <w:vAlign w:val="center"/>
          </w:tcPr>
          <w:p>
            <w:pPr>
              <w:adjustRightInd w:val="0"/>
              <w:snapToGrid w:val="0"/>
              <w:jc w:val="center"/>
              <w:rPr>
                <w:rFonts w:ascii="华文楷体" w:hAnsi="华文楷体" w:eastAsia="华文楷体"/>
                <w:kern w:val="0"/>
                <w:szCs w:val="24"/>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、企业实践等教学环节采用的</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学生和教师了解毕业要求渠道及认知情况。</w:t>
      </w:r>
    </w:p>
    <w:p>
      <w:pPr>
        <w:numPr>
          <w:ilvl w:val="0"/>
          <w:numId w:val="6"/>
        </w:numPr>
        <w:rPr>
          <w:rFonts w:ascii="华文楷体" w:hAnsi="华文楷体" w:eastAsia="华文楷体" w:cs="宋体"/>
          <w:b/>
        </w:rPr>
      </w:pPr>
      <w:r>
        <w:rPr>
          <w:rFonts w:ascii="华文楷体" w:hAnsi="华文楷体" w:eastAsia="华文楷体" w:cs="宋体"/>
          <w:b/>
        </w:rPr>
        <w:t>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与毕业要求制订有关的文件、规定等，以及分析和制订过程的记录（附件中提供相关原始记录或文件索引）</w:t>
      </w:r>
      <w:bookmarkStart w:id="26" w:name="_Hlk62465949"/>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学校层面关于毕业要求合理性和达成情况评价实施办法、院系层面关于毕业要求达成情况评价实施方案</w:t>
      </w:r>
      <w:bookmarkEnd w:id="26"/>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专业毕业要求公开渠道和方式的证据（网址、电子或纸质材料等）</w:t>
      </w:r>
    </w:p>
    <w:p>
      <w:pPr>
        <w:adjustRightInd w:val="0"/>
        <w:snapToGrid w:val="0"/>
        <w:rPr>
          <w:rFonts w:ascii="宋体" w:hAnsi="宋体" w:eastAsia="宋体" w:cs="宋体"/>
          <w:szCs w:val="24"/>
        </w:rPr>
      </w:pPr>
    </w:p>
    <w:p>
      <w:pPr>
        <w:adjustRightInd w:val="0"/>
        <w:snapToGrid w:val="0"/>
        <w:rPr>
          <w:rFonts w:ascii="宋体" w:hAnsi="宋体" w:eastAsia="宋体" w:cs="宋体"/>
          <w:szCs w:val="24"/>
        </w:rPr>
      </w:pPr>
      <w:r>
        <w:rPr>
          <w:rFonts w:ascii="微软雅黑" w:hAnsi="微软雅黑" w:eastAsia="微软雅黑" w:cs="微软雅黑"/>
          <w:color w:val="4B4B4B"/>
          <w:szCs w:val="24"/>
          <w:shd w:val="clear" w:color="auto" w:fill="FFFFFF"/>
        </w:rPr>
        <w:t>　2.1［师德规范］</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7" w:name="_Hlk6246605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7"/>
    </w:tbl>
    <w:p>
      <w:p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bookmarkStart w:id="28"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w:t>
      </w:r>
      <w:bookmarkEnd w:id="28"/>
      <w:r>
        <w:rPr>
          <w:rFonts w:hint="eastAsia" w:ascii="华文楷体" w:hAnsi="华文楷体" w:eastAsia="华文楷体" w:cs="宋体"/>
          <w:szCs w:val="21"/>
        </w:rPr>
        <w:t>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adjustRightInd w:val="0"/>
        <w:snapToGrid w:val="0"/>
        <w:rPr>
          <w:rFonts w:ascii="华文楷体" w:hAnsi="华文楷体" w:eastAsia="华文楷体" w:cs="宋体"/>
          <w:szCs w:val="21"/>
        </w:rPr>
      </w:pP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r>
        <w:rPr>
          <w:rFonts w:ascii="微软雅黑" w:hAnsi="微软雅黑" w:eastAsia="微软雅黑"/>
          <w:szCs w:val="24"/>
        </w:rPr>
        <w:t xml:space="preserve"> </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9" w:name="_Hlk62466253"/>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szCs w:val="21"/>
        </w:rPr>
      </w:pP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adjustRightInd w:val="0"/>
        <w:snapToGrid w:val="0"/>
        <w:rPr>
          <w:rFonts w:ascii="宋体" w:hAnsi="宋体" w:eastAsia="宋体" w:cs="宋体"/>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2.3［工匠精神］</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工匠精神分指标点达成情况评价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adjustRightInd w:val="0"/>
        <w:snapToGrid w:val="0"/>
        <w:rPr>
          <w:rFonts w:ascii="微软雅黑" w:hAnsi="微软雅黑" w:eastAsia="微软雅黑"/>
          <w:szCs w:val="24"/>
        </w:rPr>
      </w:pPr>
      <w:r>
        <w:rPr>
          <w:rFonts w:hint="eastAsia" w:ascii="华文楷体" w:hAnsi="华文楷体" w:eastAsia="华文楷体" w:cs="宋体"/>
        </w:rPr>
        <w:t xml:space="preserve"> </w:t>
      </w: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2.4［专业知识和能力］</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专业知识和能力分指标点达成情况评价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2.5［专业实践能力］</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专业实践能力分指标点达成情况评价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
        <w:gridCol w:w="903"/>
        <w:gridCol w:w="903"/>
        <w:gridCol w:w="944"/>
        <w:gridCol w:w="886"/>
        <w:gridCol w:w="1663"/>
        <w:gridCol w:w="1145"/>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0"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50"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50"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50"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50"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2.6［教学能力］</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教学能力分指标点达成情况评价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2.7［班级指导］</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班级指导分指标点达成情况评价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2.8［综合育人］</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综合育人分指标点达成情况评价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2.9［职业指导］</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职业指导分指标点达成情况评价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2.9.1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9</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.9</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2.10［学会反思］</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学会反思分指标点达成情况评价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2.10.1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10.2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.10</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cs="微软雅黑"/>
          <w:color w:val="4B4B4B"/>
          <w:szCs w:val="24"/>
          <w:shd w:val="clear" w:color="auto" w:fill="FFFFFF"/>
        </w:rPr>
      </w:pPr>
      <w:r>
        <w:rPr>
          <w:rFonts w:ascii="微软雅黑" w:hAnsi="微软雅黑" w:eastAsia="微软雅黑" w:cs="微软雅黑"/>
          <w:color w:val="4B4B4B"/>
          <w:szCs w:val="24"/>
          <w:shd w:val="clear" w:color="auto" w:fill="FFFFFF"/>
        </w:rPr>
        <w:t>2.11［沟通合作］</w:t>
      </w:r>
    </w:p>
    <w:p>
      <w:pPr>
        <w:adjustRightInd w:val="0"/>
        <w:snapToGrid w:val="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adjustRightInd w:val="0"/>
        <w:snapToGrid w:val="0"/>
        <w:jc w:val="center"/>
        <w:rPr>
          <w:rFonts w:ascii="华文楷体" w:hAnsi="华文楷体" w:eastAsia="华文楷体" w:cs="Calibri"/>
          <w:szCs w:val="24"/>
        </w:rPr>
      </w:pPr>
      <w:r>
        <w:rPr>
          <w:rFonts w:ascii="华文楷体" w:hAnsi="华文楷体" w:eastAsia="华文楷体" w:cs="Calibri"/>
          <w:szCs w:val="24"/>
        </w:rPr>
        <w:t>沟通合作分指标点达成情况评价</w:t>
      </w:r>
      <w:r>
        <w:rPr>
          <w:rFonts w:hint="eastAsia" w:ascii="华文楷体" w:hAnsi="华文楷体" w:eastAsia="华文楷体" w:cs="Calibri"/>
          <w:szCs w:val="24"/>
        </w:rPr>
        <w:t>依据表</w:t>
      </w:r>
    </w:p>
    <w:tbl>
      <w:tblPr>
        <w:tblStyle w:val="11"/>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6"/>
        <w:gridCol w:w="903"/>
        <w:gridCol w:w="903"/>
        <w:gridCol w:w="944"/>
        <w:gridCol w:w="886"/>
        <w:gridCol w:w="1663"/>
        <w:gridCol w:w="114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11</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.11</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 xml:space="preserve"> （</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 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、企业实践等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adjustRightInd w:val="0"/>
        <w:snapToGrid w:val="0"/>
        <w:rPr>
          <w:rFonts w:ascii="华文楷体" w:hAnsi="华文楷体" w:eastAsia="华文楷体" w:cs="宋体"/>
        </w:rPr>
      </w:pPr>
    </w:p>
    <w:p>
      <w:pPr>
        <w:adjustRightInd w:val="0"/>
        <w:snapToGrid w:val="0"/>
        <w:jc w:val="left"/>
        <w:outlineLvl w:val="1"/>
        <w:rPr>
          <w:rFonts w:ascii="微软雅黑" w:hAnsi="微软雅黑" w:eastAsia="微软雅黑"/>
          <w:b/>
          <w:kern w:val="44"/>
          <w:szCs w:val="24"/>
        </w:rPr>
      </w:pPr>
      <w:bookmarkStart w:id="30" w:name="_Toc9067"/>
      <w:bookmarkStart w:id="31" w:name="_Toc58064535"/>
      <w:r>
        <w:rPr>
          <w:rFonts w:hint="eastAsia" w:ascii="微软雅黑" w:hAnsi="微软雅黑" w:eastAsia="微软雅黑"/>
          <w:b/>
          <w:kern w:val="44"/>
          <w:szCs w:val="24"/>
        </w:rPr>
        <w:t>第二部分：主要问题</w:t>
      </w:r>
      <w:bookmarkEnd w:id="30"/>
      <w:bookmarkEnd w:id="31"/>
    </w:p>
    <w:p>
      <w:pPr>
        <w:spacing w:before="156" w:beforeLines="50" w:after="156" w:afterLines="50"/>
        <w:jc w:val="left"/>
        <w:rPr>
          <w:rFonts w:ascii="楷体" w:hAnsi="楷体" w:cs="楷体"/>
          <w:szCs w:val="28"/>
        </w:rPr>
      </w:pPr>
      <w:bookmarkStart w:id="32"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32"/>
    <w:p>
      <w:pPr>
        <w:jc w:val="left"/>
        <w:rPr>
          <w:rFonts w:ascii="宋体" w:hAnsi="宋体" w:eastAsia="宋体" w:cs="宋体"/>
          <w:szCs w:val="24"/>
        </w:rPr>
      </w:pPr>
      <w:r>
        <w:rPr>
          <w:rFonts w:hint="eastAsia" w:ascii="宋体" w:hAnsi="宋体" w:eastAsia="宋体" w:cs="宋体"/>
          <w:szCs w:val="24"/>
          <w:lang w:val="zh-CN"/>
        </w:rPr>
        <w:t>2.0毕业要求落实评价</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2.1［师德规范］</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2.2［教育情怀］</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2.3［工匠精神］</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2.4［专业知识和能力］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2.5［专业实践能力］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2.6［教学能力］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2.7［班级指导］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2.8［综合育人］</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2.9［职业指导］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2.10［学会反思］</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2.11［沟通合作］</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33" w:name="_Toc58064536"/>
      <w:bookmarkStart w:id="34" w:name="_Toc22225"/>
      <w:r>
        <w:rPr>
          <w:rFonts w:hint="eastAsia" w:ascii="微软雅黑" w:hAnsi="微软雅黑" w:eastAsia="微软雅黑"/>
          <w:b/>
          <w:kern w:val="44"/>
          <w:szCs w:val="24"/>
        </w:rPr>
        <w:t>第三部分：改进措施</w:t>
      </w:r>
      <w:bookmarkEnd w:id="33"/>
      <w:bookmarkEnd w:id="34"/>
    </w:p>
    <w:p>
      <w:pPr>
        <w:spacing w:before="156" w:beforeLines="50" w:after="156" w:afterLines="50"/>
        <w:jc w:val="left"/>
        <w:rPr>
          <w:rFonts w:ascii="楷体" w:hAnsi="楷体" w:cs="楷体"/>
          <w:szCs w:val="28"/>
        </w:rPr>
      </w:pPr>
      <w:r>
        <w:rPr>
          <w:rFonts w:hint="eastAsia" w:ascii="楷体" w:hAnsi="楷体" w:cs="楷体"/>
          <w:szCs w:val="28"/>
        </w:rPr>
        <w:t>（</w:t>
      </w:r>
      <w:bookmarkStart w:id="35"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35"/>
    <w:p>
      <w:pPr>
        <w:spacing w:before="156" w:beforeLines="50" w:after="156" w:afterLines="50"/>
        <w:jc w:val="left"/>
        <w:rPr>
          <w:rFonts w:ascii="宋体" w:hAnsi="宋体" w:eastAsia="宋体" w:cs="宋体"/>
          <w:szCs w:val="24"/>
        </w:rPr>
      </w:pPr>
      <w:r>
        <w:rPr>
          <w:rFonts w:hint="eastAsia" w:ascii="宋体" w:hAnsi="宋体" w:eastAsia="宋体" w:cs="宋体"/>
          <w:szCs w:val="24"/>
          <w:lang w:val="zh-CN"/>
        </w:rPr>
        <w:t>2.0毕业要求落实评价</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2.1［师德规范］</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2.2［教育情怀］</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2.3［工匠精神］</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2.4［专业知识和能力］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2.5［专业实践能力］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2.6［教学能力］</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2.7［班级指导］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2.8［综合育人］</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2.9［职业指导］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2.10［学会反思］</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2.11［沟通合作］</w:t>
      </w:r>
    </w:p>
    <w:p>
      <w:pPr>
        <w:jc w:val="left"/>
        <w:rPr>
          <w:rFonts w:ascii="宋体" w:hAnsi="宋体" w:eastAsia="宋体" w:cs="宋体"/>
          <w:szCs w:val="24"/>
        </w:rPr>
      </w:pPr>
      <w:r>
        <w:rPr>
          <w:rFonts w:hint="eastAsia" w:ascii="宋体" w:hAnsi="宋体" w:eastAsia="宋体" w:cs="宋体"/>
          <w:szCs w:val="24"/>
        </w:rPr>
        <w:t>……</w:t>
      </w:r>
    </w:p>
    <w:p>
      <w:pPr>
        <w:pStyle w:val="2"/>
        <w:spacing w:line="240" w:lineRule="auto"/>
        <w:rPr>
          <w:rFonts w:ascii="微软雅黑" w:hAnsi="微软雅黑" w:eastAsia="微软雅黑"/>
          <w:b/>
        </w:rPr>
      </w:pPr>
      <w:bookmarkStart w:id="36" w:name="_Toc14637"/>
      <w:bookmarkStart w:id="37" w:name="_Toc58064537"/>
      <w:r>
        <w:rPr>
          <w:rFonts w:hint="eastAsia" w:ascii="微软雅黑" w:hAnsi="微软雅黑" w:eastAsia="微软雅黑"/>
          <w:b/>
        </w:rPr>
        <w:t>标准3课程与教学</w:t>
      </w:r>
      <w:bookmarkEnd w:id="36"/>
      <w:bookmarkEnd w:id="37"/>
    </w:p>
    <w:p>
      <w:pPr>
        <w:adjustRightInd w:val="0"/>
        <w:snapToGrid w:val="0"/>
        <w:jc w:val="left"/>
        <w:outlineLvl w:val="1"/>
        <w:rPr>
          <w:rFonts w:ascii="微软雅黑" w:hAnsi="微软雅黑" w:eastAsia="微软雅黑"/>
          <w:b/>
          <w:kern w:val="44"/>
          <w:szCs w:val="24"/>
        </w:rPr>
      </w:pPr>
      <w:bookmarkStart w:id="38" w:name="_Toc58064538"/>
      <w:bookmarkStart w:id="39" w:name="_Toc16229"/>
      <w:r>
        <w:rPr>
          <w:rFonts w:hint="eastAsia" w:ascii="微软雅黑" w:hAnsi="微软雅黑" w:eastAsia="微软雅黑"/>
          <w:b/>
          <w:kern w:val="44"/>
          <w:szCs w:val="24"/>
        </w:rPr>
        <w:t>第一部分：达成情况</w:t>
      </w:r>
      <w:bookmarkEnd w:id="38"/>
      <w:bookmarkEnd w:id="39"/>
    </w:p>
    <w:p>
      <w:pPr>
        <w:jc w:val="left"/>
        <w:rPr>
          <w:rFonts w:ascii="楷体" w:hAnsi="楷体" w:cs="楷体"/>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jc w:val="left"/>
        <w:rPr>
          <w:rFonts w:ascii="楷体" w:hAnsi="楷体" w:cs="楷体"/>
          <w:bCs/>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3.1［课程设置］符合中等职业学校教师专业标准和专业类教师标准、培养标准等要求，能够支撑毕业要求达成。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 xml:space="preserve">描述说明现行培养方案中课程体系整体架构与特点，学分认定的规则。展示现行完整的专业课程设置一览表，列出课程拓扑图，明确课程先修后续关系。 </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学生毕业的总学分要求，各类课程的学时/学分规则。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用矩阵形式说明课程设置对毕业要求的支撑关系，分析支撑关系布局合理性（支撑课程必修教学环节）定位准确（每项毕业要求均有重点支撑课程）。</w:t>
      </w:r>
    </w:p>
    <w:tbl>
      <w:tblPr>
        <w:tblStyle w:val="22"/>
        <w:tblW w:w="8856" w:type="dxa"/>
        <w:tblInd w:w="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271"/>
        <w:gridCol w:w="2149"/>
        <w:gridCol w:w="2104"/>
        <w:gridCol w:w="1984"/>
        <w:gridCol w:w="1348"/>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教学环节 </w:t>
            </w:r>
          </w:p>
        </w:tc>
        <w:tc>
          <w:tcPr>
            <w:tcW w:w="2149"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专业毕业要求1</w:t>
            </w:r>
          </w:p>
        </w:tc>
        <w:tc>
          <w:tcPr>
            <w:tcW w:w="2104"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专业毕业要求2</w:t>
            </w:r>
          </w:p>
        </w:tc>
        <w:tc>
          <w:tcPr>
            <w:tcW w:w="1984"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专业毕业要求3</w:t>
            </w:r>
          </w:p>
        </w:tc>
        <w:tc>
          <w:tcPr>
            <w:tcW w:w="1348"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课程-1</w:t>
            </w:r>
          </w:p>
        </w:tc>
        <w:tc>
          <w:tcPr>
            <w:tcW w:w="2149" w:type="dxa"/>
          </w:tcPr>
          <w:p>
            <w:pPr>
              <w:jc w:val="center"/>
              <w:rPr>
                <w:rFonts w:ascii="华文楷体" w:hAnsi="华文楷体" w:eastAsia="华文楷体" w:cs="宋体"/>
                <w:kern w:val="0"/>
                <w:szCs w:val="20"/>
              </w:rPr>
            </w:pPr>
            <w:r>
              <w:rPr>
                <w:rFonts w:ascii="华文楷体" w:hAnsi="华文楷体" w:eastAsia="华文楷体" w:cs="宋体"/>
                <w:kern w:val="0"/>
                <w:szCs w:val="20"/>
              </w:rPr>
              <w:t>H</w:t>
            </w:r>
          </w:p>
        </w:tc>
        <w:tc>
          <w:tcPr>
            <w:tcW w:w="2104" w:type="dxa"/>
          </w:tcPr>
          <w:p>
            <w:pPr>
              <w:jc w:val="center"/>
              <w:rPr>
                <w:rFonts w:ascii="华文楷体" w:hAnsi="华文楷体" w:eastAsia="华文楷体" w:cs="宋体"/>
                <w:kern w:val="0"/>
                <w:szCs w:val="20"/>
              </w:rPr>
            </w:pPr>
            <w:r>
              <w:rPr>
                <w:rFonts w:ascii="华文楷体" w:hAnsi="华文楷体" w:eastAsia="华文楷体" w:cs="宋体"/>
                <w:kern w:val="0"/>
                <w:szCs w:val="20"/>
              </w:rPr>
              <w:t>L</w:t>
            </w:r>
          </w:p>
        </w:tc>
        <w:tc>
          <w:tcPr>
            <w:tcW w:w="1984" w:type="dxa"/>
          </w:tcPr>
          <w:p>
            <w:pPr>
              <w:jc w:val="center"/>
              <w:rPr>
                <w:rFonts w:ascii="华文楷体" w:hAnsi="华文楷体" w:eastAsia="华文楷体" w:cs="宋体"/>
                <w:kern w:val="0"/>
                <w:szCs w:val="20"/>
              </w:rPr>
            </w:pPr>
            <w:r>
              <w:rPr>
                <w:rFonts w:ascii="华文楷体" w:hAnsi="华文楷体" w:eastAsia="华文楷体" w:cs="宋体"/>
                <w:kern w:val="0"/>
                <w:szCs w:val="20"/>
              </w:rPr>
              <w:t> M</w:t>
            </w:r>
          </w:p>
        </w:tc>
        <w:tc>
          <w:tcPr>
            <w:tcW w:w="1348"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课程-2</w:t>
            </w:r>
          </w:p>
        </w:tc>
        <w:tc>
          <w:tcPr>
            <w:tcW w:w="2149"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2104" w:type="dxa"/>
          </w:tcPr>
          <w:p>
            <w:pPr>
              <w:jc w:val="center"/>
              <w:rPr>
                <w:rFonts w:ascii="华文楷体" w:hAnsi="华文楷体" w:eastAsia="华文楷体" w:cs="宋体"/>
                <w:kern w:val="0"/>
                <w:szCs w:val="20"/>
              </w:rPr>
            </w:pPr>
            <w:r>
              <w:rPr>
                <w:rFonts w:ascii="华文楷体" w:hAnsi="华文楷体" w:eastAsia="华文楷体" w:cs="宋体"/>
                <w:kern w:val="0"/>
                <w:szCs w:val="20"/>
              </w:rPr>
              <w:t>H</w:t>
            </w:r>
          </w:p>
        </w:tc>
        <w:tc>
          <w:tcPr>
            <w:tcW w:w="1984"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1348"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课程-3</w:t>
            </w:r>
          </w:p>
        </w:tc>
        <w:tc>
          <w:tcPr>
            <w:tcW w:w="2149"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2104" w:type="dxa"/>
          </w:tcPr>
          <w:p>
            <w:pPr>
              <w:jc w:val="center"/>
              <w:rPr>
                <w:rFonts w:ascii="华文楷体" w:hAnsi="华文楷体" w:eastAsia="华文楷体" w:cs="宋体"/>
                <w:kern w:val="0"/>
                <w:szCs w:val="20"/>
              </w:rPr>
            </w:pPr>
            <w:r>
              <w:rPr>
                <w:rFonts w:ascii="华文楷体" w:hAnsi="华文楷体" w:eastAsia="华文楷体" w:cs="宋体"/>
                <w:kern w:val="0"/>
                <w:szCs w:val="20"/>
              </w:rPr>
              <w:t>M</w:t>
            </w:r>
          </w:p>
        </w:tc>
        <w:tc>
          <w:tcPr>
            <w:tcW w:w="1984"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1348" w:type="dxa"/>
          </w:tcPr>
          <w:p>
            <w:pPr>
              <w:jc w:val="center"/>
              <w:rPr>
                <w:rFonts w:ascii="华文楷体" w:hAnsi="华文楷体" w:eastAsia="华文楷体" w:cs="宋体"/>
                <w:kern w:val="0"/>
                <w:szCs w:val="20"/>
              </w:rPr>
            </w:pPr>
            <w:r>
              <w:rPr>
                <w:rFonts w:ascii="华文楷体" w:hAnsi="华文楷体" w:eastAsia="华文楷体" w:cs="宋体"/>
                <w:kern w:val="0"/>
                <w:szCs w:val="20"/>
              </w:rPr>
              <w:t>H</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c>
          <w:tcPr>
            <w:tcW w:w="2149"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2104"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1984"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c>
          <w:tcPr>
            <w:tcW w:w="1348" w:type="dxa"/>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bl>
    <w:p>
      <w:pPr>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用矩阵形式说明课程对毕业要求指标点的具体支撑任务。在该矩阵中用特殊符号★标出对于每项毕业要求达成关联度最高的2-3门课程。</w:t>
      </w:r>
    </w:p>
    <w:tbl>
      <w:tblPr>
        <w:tblStyle w:val="22"/>
        <w:tblpPr w:leftFromText="180" w:rightFromText="180" w:vertAnchor="text" w:horzAnchor="margin" w:tblpY="295"/>
        <w:tblW w:w="8856" w:type="dxa"/>
        <w:tblInd w:w="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271"/>
        <w:gridCol w:w="964"/>
        <w:gridCol w:w="567"/>
        <w:gridCol w:w="618"/>
        <w:gridCol w:w="516"/>
        <w:gridCol w:w="567"/>
        <w:gridCol w:w="567"/>
        <w:gridCol w:w="567"/>
        <w:gridCol w:w="1842"/>
        <w:gridCol w:w="1377"/>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Merge w:val="restart"/>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教学环节 </w:t>
            </w:r>
          </w:p>
        </w:tc>
        <w:tc>
          <w:tcPr>
            <w:tcW w:w="2149" w:type="dxa"/>
            <w:gridSpan w:val="3"/>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专业毕业要求1</w:t>
            </w:r>
          </w:p>
        </w:tc>
        <w:tc>
          <w:tcPr>
            <w:tcW w:w="2217" w:type="dxa"/>
            <w:gridSpan w:val="4"/>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专业毕业要求2</w:t>
            </w:r>
          </w:p>
        </w:tc>
        <w:tc>
          <w:tcPr>
            <w:tcW w:w="1842"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专业毕业要求3</w:t>
            </w:r>
          </w:p>
        </w:tc>
        <w:tc>
          <w:tcPr>
            <w:tcW w:w="137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Merge w:val="continue"/>
            <w:vAlign w:val="center"/>
          </w:tcPr>
          <w:p>
            <w:pPr>
              <w:jc w:val="center"/>
              <w:rPr>
                <w:rFonts w:ascii="华文楷体" w:hAnsi="华文楷体" w:eastAsia="华文楷体" w:cs="宋体"/>
                <w:kern w:val="0"/>
                <w:szCs w:val="20"/>
              </w:rPr>
            </w:pPr>
          </w:p>
        </w:tc>
        <w:tc>
          <w:tcPr>
            <w:tcW w:w="964"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1</w:t>
            </w:r>
            <w:r>
              <w:rPr>
                <w:rFonts w:ascii="华文楷体" w:hAnsi="华文楷体" w:eastAsia="华文楷体" w:cs="宋体"/>
                <w:kern w:val="0"/>
                <w:szCs w:val="20"/>
              </w:rPr>
              <w:t>.1</w:t>
            </w:r>
          </w:p>
        </w:tc>
        <w:tc>
          <w:tcPr>
            <w:tcW w:w="56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1</w:t>
            </w:r>
            <w:r>
              <w:rPr>
                <w:rFonts w:ascii="华文楷体" w:hAnsi="华文楷体" w:eastAsia="华文楷体" w:cs="宋体"/>
                <w:kern w:val="0"/>
                <w:szCs w:val="20"/>
              </w:rPr>
              <w:t>.2</w:t>
            </w:r>
          </w:p>
        </w:tc>
        <w:tc>
          <w:tcPr>
            <w:tcW w:w="618"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1</w:t>
            </w:r>
            <w:r>
              <w:rPr>
                <w:rFonts w:ascii="华文楷体" w:hAnsi="华文楷体" w:eastAsia="华文楷体" w:cs="宋体"/>
                <w:kern w:val="0"/>
                <w:szCs w:val="20"/>
              </w:rPr>
              <w:t>.3</w:t>
            </w:r>
          </w:p>
        </w:tc>
        <w:tc>
          <w:tcPr>
            <w:tcW w:w="516"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2</w:t>
            </w:r>
            <w:r>
              <w:rPr>
                <w:rFonts w:ascii="华文楷体" w:hAnsi="华文楷体" w:eastAsia="华文楷体" w:cs="宋体"/>
                <w:kern w:val="0"/>
                <w:szCs w:val="20"/>
              </w:rPr>
              <w:t>.1</w:t>
            </w:r>
          </w:p>
        </w:tc>
        <w:tc>
          <w:tcPr>
            <w:tcW w:w="56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2</w:t>
            </w:r>
            <w:r>
              <w:rPr>
                <w:rFonts w:ascii="华文楷体" w:hAnsi="华文楷体" w:eastAsia="华文楷体" w:cs="宋体"/>
                <w:kern w:val="0"/>
                <w:szCs w:val="20"/>
              </w:rPr>
              <w:t>.2</w:t>
            </w:r>
          </w:p>
        </w:tc>
        <w:tc>
          <w:tcPr>
            <w:tcW w:w="56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2</w:t>
            </w:r>
            <w:r>
              <w:rPr>
                <w:rFonts w:ascii="华文楷体" w:hAnsi="华文楷体" w:eastAsia="华文楷体" w:cs="宋体"/>
                <w:kern w:val="0"/>
                <w:szCs w:val="20"/>
              </w:rPr>
              <w:t>.3</w:t>
            </w:r>
          </w:p>
        </w:tc>
        <w:tc>
          <w:tcPr>
            <w:tcW w:w="56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2</w:t>
            </w:r>
            <w:r>
              <w:rPr>
                <w:rFonts w:ascii="华文楷体" w:hAnsi="华文楷体" w:eastAsia="华文楷体" w:cs="宋体"/>
                <w:kern w:val="0"/>
                <w:szCs w:val="20"/>
              </w:rPr>
              <w:t>.4</w:t>
            </w:r>
          </w:p>
        </w:tc>
        <w:tc>
          <w:tcPr>
            <w:tcW w:w="1842"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c>
          <w:tcPr>
            <w:tcW w:w="1377"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课程-1</w:t>
            </w:r>
          </w:p>
        </w:tc>
        <w:tc>
          <w:tcPr>
            <w:tcW w:w="964"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618" w:type="dxa"/>
            <w:vAlign w:val="center"/>
          </w:tcPr>
          <w:p>
            <w:pPr>
              <w:jc w:val="center"/>
              <w:rPr>
                <w:rFonts w:ascii="华文楷体" w:hAnsi="华文楷体" w:eastAsia="华文楷体" w:cs="宋体"/>
                <w:kern w:val="0"/>
                <w:szCs w:val="20"/>
              </w:rPr>
            </w:pPr>
          </w:p>
        </w:tc>
        <w:tc>
          <w:tcPr>
            <w:tcW w:w="516"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1842" w:type="dxa"/>
            <w:vAlign w:val="center"/>
          </w:tcPr>
          <w:p>
            <w:pPr>
              <w:jc w:val="center"/>
              <w:rPr>
                <w:rFonts w:ascii="华文楷体" w:hAnsi="华文楷体" w:eastAsia="华文楷体" w:cs="宋体"/>
                <w:kern w:val="0"/>
                <w:szCs w:val="20"/>
              </w:rPr>
            </w:pPr>
          </w:p>
        </w:tc>
        <w:tc>
          <w:tcPr>
            <w:tcW w:w="1377" w:type="dxa"/>
            <w:vAlign w:val="center"/>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课程-2</w:t>
            </w:r>
          </w:p>
        </w:tc>
        <w:tc>
          <w:tcPr>
            <w:tcW w:w="964"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618" w:type="dxa"/>
            <w:vAlign w:val="center"/>
          </w:tcPr>
          <w:p>
            <w:pPr>
              <w:jc w:val="center"/>
              <w:rPr>
                <w:rFonts w:ascii="华文楷体" w:hAnsi="华文楷体" w:eastAsia="华文楷体" w:cs="宋体"/>
                <w:kern w:val="0"/>
                <w:szCs w:val="20"/>
              </w:rPr>
            </w:pPr>
          </w:p>
        </w:tc>
        <w:tc>
          <w:tcPr>
            <w:tcW w:w="516"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1842" w:type="dxa"/>
            <w:vAlign w:val="center"/>
          </w:tcPr>
          <w:p>
            <w:pPr>
              <w:jc w:val="center"/>
              <w:rPr>
                <w:rFonts w:ascii="华文楷体" w:hAnsi="华文楷体" w:eastAsia="华文楷体" w:cs="宋体"/>
                <w:kern w:val="0"/>
                <w:szCs w:val="20"/>
              </w:rPr>
            </w:pPr>
          </w:p>
        </w:tc>
        <w:tc>
          <w:tcPr>
            <w:tcW w:w="1377" w:type="dxa"/>
            <w:vAlign w:val="center"/>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课程-</w:t>
            </w:r>
            <w:r>
              <w:rPr>
                <w:rFonts w:ascii="华文楷体" w:hAnsi="华文楷体" w:eastAsia="华文楷体" w:cs="宋体"/>
                <w:kern w:val="0"/>
                <w:szCs w:val="20"/>
              </w:rPr>
              <w:t>3</w:t>
            </w:r>
          </w:p>
        </w:tc>
        <w:tc>
          <w:tcPr>
            <w:tcW w:w="964"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618" w:type="dxa"/>
            <w:vAlign w:val="center"/>
          </w:tcPr>
          <w:p>
            <w:pPr>
              <w:jc w:val="center"/>
              <w:rPr>
                <w:rFonts w:ascii="华文楷体" w:hAnsi="华文楷体" w:eastAsia="华文楷体" w:cs="宋体"/>
                <w:kern w:val="0"/>
                <w:szCs w:val="20"/>
              </w:rPr>
            </w:pPr>
          </w:p>
        </w:tc>
        <w:tc>
          <w:tcPr>
            <w:tcW w:w="516"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1842" w:type="dxa"/>
            <w:vAlign w:val="center"/>
          </w:tcPr>
          <w:p>
            <w:pPr>
              <w:jc w:val="center"/>
              <w:rPr>
                <w:rFonts w:ascii="华文楷体" w:hAnsi="华文楷体" w:eastAsia="华文楷体" w:cs="宋体"/>
                <w:kern w:val="0"/>
                <w:szCs w:val="20"/>
              </w:rPr>
            </w:pPr>
          </w:p>
        </w:tc>
        <w:tc>
          <w:tcPr>
            <w:tcW w:w="1377" w:type="dxa"/>
            <w:vAlign w:val="center"/>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0" w:hRule="atLeast"/>
        </w:trPr>
        <w:tc>
          <w:tcPr>
            <w:tcW w:w="1271" w:type="dxa"/>
            <w:vAlign w:val="center"/>
          </w:tcPr>
          <w:p>
            <w:pPr>
              <w:jc w:val="center"/>
              <w:rPr>
                <w:rFonts w:ascii="华文楷体" w:hAnsi="华文楷体" w:eastAsia="华文楷体" w:cs="宋体"/>
                <w:kern w:val="0"/>
                <w:szCs w:val="20"/>
              </w:rPr>
            </w:pPr>
            <w:r>
              <w:rPr>
                <w:rFonts w:hint="eastAsia" w:ascii="华文楷体" w:hAnsi="华文楷体" w:eastAsia="华文楷体" w:cs="宋体"/>
                <w:kern w:val="0"/>
                <w:szCs w:val="20"/>
              </w:rPr>
              <w:t>……</w:t>
            </w:r>
          </w:p>
        </w:tc>
        <w:tc>
          <w:tcPr>
            <w:tcW w:w="964"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618" w:type="dxa"/>
            <w:vAlign w:val="center"/>
          </w:tcPr>
          <w:p>
            <w:pPr>
              <w:jc w:val="center"/>
              <w:rPr>
                <w:rFonts w:ascii="华文楷体" w:hAnsi="华文楷体" w:eastAsia="华文楷体" w:cs="宋体"/>
                <w:kern w:val="0"/>
                <w:szCs w:val="20"/>
              </w:rPr>
            </w:pPr>
          </w:p>
        </w:tc>
        <w:tc>
          <w:tcPr>
            <w:tcW w:w="516"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567" w:type="dxa"/>
            <w:vAlign w:val="center"/>
          </w:tcPr>
          <w:p>
            <w:pPr>
              <w:jc w:val="center"/>
              <w:rPr>
                <w:rFonts w:ascii="华文楷体" w:hAnsi="华文楷体" w:eastAsia="华文楷体" w:cs="宋体"/>
                <w:kern w:val="0"/>
                <w:szCs w:val="20"/>
              </w:rPr>
            </w:pPr>
          </w:p>
        </w:tc>
        <w:tc>
          <w:tcPr>
            <w:tcW w:w="1842" w:type="dxa"/>
            <w:vAlign w:val="center"/>
          </w:tcPr>
          <w:p>
            <w:pPr>
              <w:jc w:val="center"/>
              <w:rPr>
                <w:rFonts w:ascii="华文楷体" w:hAnsi="华文楷体" w:eastAsia="华文楷体" w:cs="宋体"/>
                <w:kern w:val="0"/>
                <w:szCs w:val="20"/>
              </w:rPr>
            </w:pPr>
          </w:p>
        </w:tc>
        <w:tc>
          <w:tcPr>
            <w:tcW w:w="1377" w:type="dxa"/>
            <w:vAlign w:val="center"/>
          </w:tcPr>
          <w:p>
            <w:pPr>
              <w:jc w:val="center"/>
              <w:rPr>
                <w:rFonts w:ascii="华文楷体" w:hAnsi="华文楷体" w:eastAsia="华文楷体" w:cs="宋体"/>
                <w:kern w:val="0"/>
                <w:szCs w:val="20"/>
              </w:rPr>
            </w:pPr>
            <w:r>
              <w:rPr>
                <w:rFonts w:ascii="华文楷体" w:hAnsi="华文楷体" w:eastAsia="华文楷体" w:cs="宋体"/>
                <w:kern w:val="0"/>
                <w:szCs w:val="20"/>
              </w:rPr>
              <w:t>……</w:t>
            </w:r>
          </w:p>
        </w:tc>
      </w:tr>
    </w:tbl>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列表说明课程体系设置符合中等职业学校教师专业标准、教师教育课程标准和专业教学相关标准要求</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描述说明用于重点支撑各项毕业要求（关联度高）的专业核心课程和重要实践环节的关键支撑作用。</w:t>
      </w:r>
    </w:p>
    <w:p>
      <w:pPr>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学校关于培养方案修订的制度</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认证期内（近三年）毕业生和在校生使用的专业培养方案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用于评价毕业要求达成情况的相关课程的教学大纲。</w:t>
      </w:r>
    </w:p>
    <w:p>
      <w:pPr>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3.2［课程结构］课程结构体现通识教育、专业教育、职业教育与教师教育有机结合；理论课与实践课、必修课与选修课设置合理。各类课程学分比例恰当，通识教育课程中的人文社会与科学素养课程学分不低于8学分，专业课程学分不低于总学分的1/3，教师教育课程学分不低于12学分。</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描述说明课程结构体现通识教育和专业教育有机融合情况。</w:t>
      </w:r>
      <w:r>
        <w:rPr>
          <w:rFonts w:ascii="仿宋_GB2312" w:hAnsi="仿宋_GB2312" w:eastAsia="仿宋_GB2312" w:cs="仿宋_GB2312"/>
          <w:szCs w:val="24"/>
        </w:rPr>
        <w:t></w:t>
      </w:r>
      <w:r>
        <w:rPr>
          <w:rFonts w:ascii="仿宋_GB2312" w:hAnsi="仿宋_GB2312" w:eastAsia="仿宋_GB2312" w:cs="仿宋_GB2312"/>
          <w:szCs w:val="24"/>
        </w:rPr>
        <w:tab/>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描述说明学科专业教育与教师教育有机结合情况。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描述说明理论课程与实践课程、必修课与选修课设置情况以及合理性。</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描述说明各类课程设置与学分比例能够满足“一践行三学会”养成教育要求。</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课程建设规划、制度及学分管理办法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关于学生选课的制度文件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课程结构总体框架以及培养方案有关课程结构修订的论证材料</w:t>
      </w:r>
    </w:p>
    <w:p>
      <w:pPr>
        <w:ind w:left="-420"/>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3.3［课程内容］课程内容体现专业性、职业性与师范性“三性”融合的要求，把社会主义核心价值观、师德教育和工匠精神有机融入课程教学中。开发或选用体现中等职业学校教师培养特色的教材，吸收新知识、新技术、新工艺和新方法，引入课程改革和职业教育研究最新成果、优秀中等职业学校教育教学案例，并能够结合产业发展变化和师范生学习状况及时更新、完善课程内容。</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描述说明课程内容体现中等职业教育专业性、职业性、师范性情况，特别是将社会主义核心价值观、工匠精神和师德养成教育的落实情况并举例说明。</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描述说明教材建设和管理制度情况，包括教材使用申报、遴选审核、国外优秀教材引入等，并说明建设成效。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描述说明课程内容引入课程改革和职业教育研究最新成果、优秀中等职业学校教育教学案例的情况，并举例说明。</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描述说明课程内容更新、动态调整机制及执行情况。</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教学管理制度中有关规范优化课程内容及更新调整的部分</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教材建设与管理制度</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课程教学大纲与教案</w:t>
      </w:r>
      <w:bookmarkStart w:id="40" w:name="_Hlk62467041"/>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专业优秀中等职业学校教学案例列表及使用情况（在附件中提供索引）</w:t>
      </w:r>
    </w:p>
    <w:bookmarkEnd w:id="40"/>
    <w:p>
      <w:pPr>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3.4［课程实施］重视课堂教学在培养过程中的基础作用，强化课程思政，将思想政治教育贯通教学全过程。依据毕业要求制定教学大纲，教学内容、教学方法、考核内容与方式应支持课程目标的实现。能够推行理实一体化教学，恰当运用项目教学、案例教学、情境教学等方式方法，合理运用信息技术，提高师范生学习效果。课堂教学、课外指导和课外学习的时间分配合理，教学技能与专业技能训练课程实行小班教学，养成师范生的自主学习能力，掌握“三字一话”、技能示范等从教基本功。</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描述说明重视与发挥课堂教学基础作用的制度建设和规范管理情况，特别是课程思政即课程教学中融入思想政治教育的落实情况并举例说明。</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改革课程教学方法的措施、列表说明各类课程的主要教学方法（并提供教案等相关证据），描述教学中学生参与、互动、研讨的情况，结合课程目标，恰当运用项目教学、案例教学、情景教学、现场教学等教学方式；课堂教学运用信息技术的范围、程度、方式与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描述说明课堂教学、课外指导和课外学习的整体实施与时间分配，说明中等职业教育专业教师讲练基本技能、“三字一话”等从教基本功训练等实践课程建设与实施效果。</w:t>
      </w:r>
    </w:p>
    <w:p>
      <w:pPr>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课堂教学建设和管理制度文件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有关课程教学方式改革的制度与措施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 xml:space="preserve">教学大纲制订、修订与审核制度 </w:t>
      </w:r>
      <w:r>
        <w:rPr>
          <w:rFonts w:ascii="仿宋_GB2312" w:hAnsi="仿宋_GB2312" w:eastAsia="仿宋_GB2312" w:cs="仿宋_GB2312"/>
          <w:szCs w:val="24"/>
        </w:rPr>
        <w:t xml:space="preserve"> </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教师、教研组、专业三个层面指导、研讨、分析、论证、修订教学大纲过程档案材料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各类课程主要教学方法列表及教案等相关证据</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课堂教学内容、教学方式方法、考核内容方式改革经验材料，典型案例与教学成果</w:t>
      </w:r>
    </w:p>
    <w:p>
      <w:pPr>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3.5［课程评价］</w:t>
      </w:r>
      <w:r>
        <w:rPr>
          <w:rFonts w:hint="eastAsia" w:ascii="宋体" w:hAnsi="宋体" w:eastAsia="宋体" w:cs="宋体"/>
          <w:szCs w:val="24"/>
          <w:shd w:val="clear" w:color="auto" w:fill="FFFFFF"/>
        </w:rPr>
        <w:t>定期评价课程体系的合理性和课程目标达成情况，并能够根据评价结果进行修订。专业实践课程评价标准借鉴吸收行业企业相关评价标准。</w:t>
      </w:r>
      <w:r>
        <w:rPr>
          <w:rFonts w:hint="eastAsia" w:ascii="宋体" w:hAnsi="宋体" w:eastAsia="宋体" w:cs="宋体"/>
          <w:color w:val="4B4B4B"/>
          <w:szCs w:val="24"/>
          <w:shd w:val="clear" w:color="auto" w:fill="FFFFFF"/>
        </w:rPr>
        <w:t>评价与修订过程应有行业、企业、中等职业学校等利益相关方参与。</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体系合理性评价机制。需说明：1）评价工作的责任机构；2）评价周期；3）评价过程（包括评价依据收集的内容和来源，以及评价工作的组织）；4）评价方法；5）结果使用要求；6）证明该机制存在的制度性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课程体系合理性评价机制的运行情况。最近一次课程体系合理性评价的过程和结果（包括评价时间、评价依据、评价方法和评价结果）。</w:t>
      </w:r>
    </w:p>
    <w:p>
      <w:pPr>
        <w:numPr>
          <w:ilvl w:val="0"/>
          <w:numId w:val="4"/>
        </w:numPr>
        <w:ind w:left="0"/>
        <w:rPr>
          <w:rFonts w:ascii="仿宋_GB2312" w:hAnsi="仿宋_GB2312" w:eastAsia="仿宋_GB2312" w:cs="仿宋_GB2312"/>
          <w:szCs w:val="24"/>
        </w:rPr>
      </w:pPr>
      <w:r>
        <w:rPr>
          <w:rFonts w:hint="eastAsia" w:ascii="宋体" w:hAnsi="宋体" w:eastAsia="宋体" w:cs="宋体"/>
          <w:szCs w:val="24"/>
          <w:shd w:val="clear" w:color="auto" w:fill="FFFFFF"/>
        </w:rPr>
        <w:t>说明专业实践课程评价标准借鉴吸收行业企业相关评价标准的情况。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描述说明行业、企业、中等职业学校等利益相关方参与课程体系评价与修订的过程、方式和发挥的作用。</w:t>
      </w:r>
      <w:r>
        <w:rPr>
          <w:rFonts w:ascii="仿宋_GB2312" w:hAnsi="仿宋_GB2312" w:eastAsia="仿宋_GB2312" w:cs="仿宋_GB2312"/>
          <w:szCs w:val="24"/>
        </w:rPr>
        <w:t></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目标达成情况评价机制。需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学校课程体系合理性评价与课程目标达成情况评价实施办法，及院系相关实施细则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课程目标达成情况评价审核制度文件，包括预审、教师自查、结果审核等环节，重点审核对应课程分目标、考核内容方法、评分标准、结果使用（改进）一致性</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专业核心课程教学大纲、教案、过程性与结果性考核资料（试卷与过程性评价材料，定量与定性评分标准）；课程目标达成评价报告，及其评价依据合理性审核记录（其他课程评价资料，在附件中提供索引）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近三年用人单位、师范毕业生等利益相关方参与课程体系评价与修订的记录性材料（包括名单、参与方式、发挥作用）。</w:t>
      </w:r>
    </w:p>
    <w:p>
      <w:pPr>
        <w:adjustRightInd w:val="0"/>
        <w:snapToGrid w:val="0"/>
        <w:jc w:val="left"/>
        <w:outlineLvl w:val="1"/>
        <w:rPr>
          <w:rFonts w:ascii="微软雅黑" w:hAnsi="微软雅黑" w:eastAsia="微软雅黑"/>
          <w:b/>
          <w:kern w:val="44"/>
          <w:szCs w:val="24"/>
        </w:rPr>
      </w:pPr>
      <w:bookmarkStart w:id="41" w:name="_Toc58064539"/>
      <w:bookmarkStart w:id="42" w:name="_Toc31752"/>
      <w:r>
        <w:rPr>
          <w:rFonts w:hint="eastAsia" w:ascii="微软雅黑" w:hAnsi="微软雅黑" w:eastAsia="微软雅黑"/>
          <w:b/>
          <w:kern w:val="44"/>
          <w:szCs w:val="24"/>
        </w:rPr>
        <w:t>第二部分：主要问题</w:t>
      </w:r>
      <w:bookmarkEnd w:id="41"/>
      <w:bookmarkEnd w:id="42"/>
    </w:p>
    <w:p>
      <w:pPr>
        <w:spacing w:before="156" w:beforeLines="50" w:after="156" w:afterLines="50"/>
        <w:jc w:val="left"/>
        <w:rPr>
          <w:rFonts w:ascii="楷体" w:hAnsi="楷体" w:cs="楷体"/>
          <w:szCs w:val="28"/>
        </w:rPr>
      </w:pPr>
      <w:bookmarkStart w:id="43"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3"/>
    <w:p>
      <w:pPr>
        <w:jc w:val="left"/>
        <w:rPr>
          <w:rFonts w:ascii="宋体" w:hAnsi="宋体" w:eastAsia="宋体" w:cs="宋体"/>
          <w:szCs w:val="24"/>
        </w:rPr>
      </w:pPr>
      <w:r>
        <w:rPr>
          <w:rFonts w:hint="eastAsia" w:ascii="宋体" w:hAnsi="宋体" w:eastAsia="宋体" w:cs="宋体"/>
          <w:szCs w:val="24"/>
        </w:rPr>
        <w:t>3.1 [课程设置]</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3.2 [课程结构]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3.3 [课程内容]</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3.4 [课程实施]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3.5 [课程评价]</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44" w:name="_Toc58064540"/>
      <w:bookmarkStart w:id="45" w:name="_Toc4779"/>
      <w:r>
        <w:rPr>
          <w:rFonts w:hint="eastAsia" w:ascii="微软雅黑" w:hAnsi="微软雅黑" w:eastAsia="微软雅黑"/>
          <w:b/>
          <w:kern w:val="44"/>
          <w:szCs w:val="24"/>
        </w:rPr>
        <w:t>第三部分：改进措施</w:t>
      </w:r>
      <w:bookmarkEnd w:id="44"/>
      <w:bookmarkEnd w:id="45"/>
    </w:p>
    <w:p>
      <w:pPr>
        <w:spacing w:before="156" w:beforeLines="50" w:after="156" w:afterLines="50"/>
        <w:jc w:val="left"/>
        <w:rPr>
          <w:rFonts w:ascii="楷体" w:hAnsi="楷体" w:cs="楷体"/>
          <w:szCs w:val="28"/>
        </w:rPr>
      </w:pPr>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p>
      <w:pPr>
        <w:jc w:val="left"/>
        <w:rPr>
          <w:rFonts w:ascii="宋体" w:hAnsi="宋体" w:eastAsia="宋体" w:cs="宋体"/>
          <w:szCs w:val="24"/>
        </w:rPr>
      </w:pPr>
      <w:r>
        <w:rPr>
          <w:rFonts w:hint="eastAsia" w:ascii="宋体" w:hAnsi="宋体" w:eastAsia="宋体" w:cs="宋体"/>
          <w:szCs w:val="24"/>
        </w:rPr>
        <w:t xml:space="preserve">3.1 [课程设置]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3.2 [课程结构]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3.3 [课程内容]</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3.4 [课程实施] </w:t>
      </w:r>
    </w:p>
    <w:p>
      <w:pPr>
        <w:jc w:val="left"/>
        <w:rPr>
          <w:rFonts w:ascii="宋体" w:hAnsi="宋体" w:eastAsia="宋体" w:cs="宋体"/>
          <w:szCs w:val="24"/>
        </w:rPr>
      </w:pPr>
      <w:bookmarkStart w:id="46" w:name="_Hlk533518571"/>
      <w:r>
        <w:rPr>
          <w:rFonts w:hint="eastAsia" w:ascii="宋体" w:hAnsi="宋体" w:eastAsia="宋体" w:cs="宋体"/>
          <w:szCs w:val="24"/>
        </w:rPr>
        <w:t>……</w:t>
      </w:r>
    </w:p>
    <w:bookmarkEnd w:id="46"/>
    <w:p>
      <w:pPr>
        <w:jc w:val="left"/>
        <w:rPr>
          <w:rFonts w:ascii="宋体" w:hAnsi="宋体" w:eastAsia="宋体" w:cs="宋体"/>
          <w:szCs w:val="24"/>
        </w:rPr>
      </w:pPr>
      <w:r>
        <w:rPr>
          <w:rFonts w:hint="eastAsia" w:ascii="宋体" w:hAnsi="宋体" w:eastAsia="宋体" w:cs="宋体"/>
          <w:szCs w:val="24"/>
        </w:rPr>
        <w:t>3.5 [课程评价]</w:t>
      </w:r>
    </w:p>
    <w:p>
      <w:pPr>
        <w:jc w:val="left"/>
        <w:rPr>
          <w:rFonts w:ascii="宋体" w:hAnsi="宋体" w:eastAsia="宋体" w:cs="宋体"/>
          <w:szCs w:val="24"/>
        </w:rPr>
      </w:pPr>
      <w:r>
        <w:rPr>
          <w:rFonts w:hint="eastAsia" w:ascii="宋体" w:hAnsi="宋体" w:eastAsia="宋体" w:cs="宋体"/>
          <w:szCs w:val="24"/>
        </w:rPr>
        <w:t>……</w:t>
      </w:r>
    </w:p>
    <w:p>
      <w:pPr>
        <w:adjustRightInd w:val="0"/>
        <w:snapToGrid w:val="0"/>
        <w:rPr>
          <w:rFonts w:ascii="微软雅黑" w:hAnsi="微软雅黑" w:eastAsia="微软雅黑" w:cs="微软雅黑"/>
          <w:color w:val="4B4B4B"/>
          <w:szCs w:val="24"/>
          <w:shd w:val="clear" w:color="auto" w:fill="FFFFFF"/>
        </w:rPr>
      </w:pPr>
    </w:p>
    <w:p>
      <w:pPr>
        <w:pStyle w:val="2"/>
        <w:spacing w:line="240" w:lineRule="auto"/>
        <w:rPr>
          <w:rFonts w:ascii="微软雅黑" w:hAnsi="微软雅黑" w:eastAsia="微软雅黑"/>
          <w:b/>
        </w:rPr>
      </w:pPr>
      <w:bookmarkStart w:id="47" w:name="_Toc31180"/>
      <w:bookmarkStart w:id="48" w:name="_Toc58064541"/>
      <w:r>
        <w:rPr>
          <w:rFonts w:hint="eastAsia" w:ascii="微软雅黑" w:hAnsi="微软雅黑" w:eastAsia="微软雅黑"/>
          <w:b/>
        </w:rPr>
        <w:t>标准4合作与实践</w:t>
      </w:r>
      <w:bookmarkEnd w:id="47"/>
      <w:bookmarkEnd w:id="48"/>
    </w:p>
    <w:p>
      <w:pPr>
        <w:adjustRightInd w:val="0"/>
        <w:snapToGrid w:val="0"/>
        <w:jc w:val="left"/>
        <w:outlineLvl w:val="1"/>
        <w:rPr>
          <w:rFonts w:ascii="微软雅黑" w:hAnsi="微软雅黑" w:eastAsia="微软雅黑"/>
          <w:b/>
          <w:kern w:val="44"/>
          <w:szCs w:val="24"/>
        </w:rPr>
      </w:pPr>
      <w:bookmarkStart w:id="49" w:name="_Toc58064542"/>
      <w:bookmarkStart w:id="50" w:name="_Toc20794"/>
      <w:r>
        <w:rPr>
          <w:rFonts w:hint="eastAsia" w:ascii="微软雅黑" w:hAnsi="微软雅黑" w:eastAsia="微软雅黑"/>
          <w:b/>
          <w:kern w:val="44"/>
          <w:szCs w:val="24"/>
        </w:rPr>
        <w:t>第一部分：达成情况</w:t>
      </w:r>
      <w:bookmarkEnd w:id="49"/>
      <w:bookmarkEnd w:id="50"/>
    </w:p>
    <w:p>
      <w:pPr>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jc w:val="left"/>
        <w:rPr>
          <w:rFonts w:ascii="楷体" w:hAnsi="楷体" w:cs="楷体"/>
          <w:szCs w:val="28"/>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4.1［协同育人］与地方教育等相关行政部门、行业企业和中等职业学校建立权责明晰、稳定协调、合作共赢的多方协同培养机制，不断深化产教融合、校企合作，基本形成教师培养、培训、研究和服务一体化的合作共同体。</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描述学校和院系与地方教育行政部门、行业企业和中等职业学校建立“多元一体”协同培养机制情况。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描述学校和院系与中等职业学校合作搭建教师专业发展平台，形成教师培养、培训、研究和服务一体化的合作共同体情况。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描述“多元一体”协同育人工作成效。</w:t>
      </w:r>
    </w:p>
    <w:p>
      <w:pPr>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adjustRightInd w:val="0"/>
        <w:snapToGrid w:val="0"/>
        <w:rPr>
          <w:rFonts w:ascii="微软雅黑" w:hAnsi="微软雅黑" w:eastAsia="微软雅黑" w:cs="微软雅黑"/>
          <w:szCs w:val="24"/>
          <w:shd w:val="clear" w:color="auto" w:fill="FFFFFF"/>
        </w:rPr>
      </w:pPr>
    </w:p>
    <w:p>
      <w:pPr>
        <w:adjustRightInd w:val="0"/>
        <w:snapToGrid w:val="0"/>
        <w:jc w:val="left"/>
        <w:rPr>
          <w:rFonts w:ascii="宋体" w:hAnsi="宋体" w:eastAsia="宋体" w:cs="宋体"/>
          <w:szCs w:val="24"/>
          <w:shd w:val="clear" w:color="auto" w:fill="FFFFFF"/>
        </w:rPr>
      </w:pPr>
      <w:r>
        <w:rPr>
          <w:rFonts w:ascii="宋体" w:hAnsi="宋体" w:eastAsia="宋体" w:cs="宋体"/>
          <w:szCs w:val="24"/>
          <w:shd w:val="clear" w:color="auto" w:fill="FFFFFF"/>
        </w:rPr>
        <w:t>4.2［基地建设］建有相对稳定的专业实践基地和教育实践基地，每20个实习生不少于1个专业实践基地和1个教育实践基地。专业实践基地和教育实践基地均能够提供合适的实践环境和实习指导，满足师范</w:t>
      </w:r>
      <w:r>
        <w:rPr>
          <w:rFonts w:hint="eastAsia" w:ascii="宋体" w:hAnsi="宋体" w:eastAsia="宋体" w:cs="宋体"/>
          <w:szCs w:val="24"/>
          <w:shd w:val="clear" w:color="auto" w:fill="FFFFFF"/>
        </w:rPr>
        <w:t>生专业实践和教育实践需求。</w:t>
      </w:r>
    </w:p>
    <w:p>
      <w:pPr>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以列表方式提供学校和院系与中等职业学校和企业合作共建的实习实训基地情况（包括运行机制、基地设施和承担的教学任务），说明双实践基地是否满足专业教学的需求。</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描述学校和院系利用双实践基地开展专业培养的相关制度和举措及其成效。</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adjustRightInd w:val="0"/>
        <w:snapToGrid w:val="0"/>
        <w:rPr>
          <w:rFonts w:ascii="微软雅黑" w:hAnsi="微软雅黑" w:eastAsia="微软雅黑" w:cs="微软雅黑"/>
          <w:color w:val="4B4B4B"/>
          <w:szCs w:val="24"/>
          <w:shd w:val="clear" w:color="auto" w:fill="FFFFFF"/>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4.3［实践教学］实践教学体系完整，专业实践和教育实践有机结合。实践教学有明确目标和具体计划，累计不少于36周，其中教育实习不少于8周。专业实践涵盖工匠精神养成、专业技能训练、专业综合实践、岗位实践和创新创业实践等，体现生产实际需求；教育实践涵盖师德体验、教学实践、班级管理实践和教研实践等，并与其他教育环节有机衔接。学校集中组织教育实习，保证师范生实习期间的上课时数。</w:t>
      </w:r>
    </w:p>
    <w:p>
      <w:pPr>
        <w:spacing w:line="288" w:lineRule="auto"/>
        <w:rPr>
          <w:rFonts w:ascii="华文楷体" w:hAnsi="华文楷体" w:eastAsia="华文楷体" w:cs="宋体"/>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描述实践教学体系建设情况，及实施成效。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对应毕业要求制订技能训练、专业实践、教育实践、毕业设计（论文）等实践课程教学大纲情况，教育见习、教育实习、教育研习教学大纲对应毕业要求制定及覆盖师德体验、教学实践、班级管理实践和教研实践等领域的情况。</w:t>
      </w:r>
    </w:p>
    <w:p>
      <w:pPr>
        <w:pStyle w:val="20"/>
        <w:spacing w:before="120" w:after="120" w:line="288" w:lineRule="auto"/>
        <w:ind w:firstLine="0" w:firstLineChars="0"/>
        <w:jc w:val="center"/>
        <w:rPr>
          <w:rFonts w:ascii="华文楷体" w:hAnsi="华文楷体" w:eastAsia="华文楷体" w:cs="宋体"/>
          <w:sz w:val="28"/>
          <w:szCs w:val="22"/>
        </w:rPr>
      </w:pPr>
      <w:r>
        <w:rPr>
          <w:rFonts w:hint="eastAsia" w:ascii="华文楷体" w:hAnsi="华文楷体" w:eastAsia="华文楷体" w:cs="宋体"/>
          <w:sz w:val="28"/>
          <w:szCs w:val="22"/>
        </w:rPr>
        <w:t>实践教学课程体系</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2492"/>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类别</w:t>
            </w:r>
          </w:p>
        </w:tc>
        <w:tc>
          <w:tcPr>
            <w:tcW w:w="1462" w:type="pct"/>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实践</w:t>
            </w:r>
            <w:r>
              <w:rPr>
                <w:rFonts w:ascii="华文楷体" w:hAnsi="华文楷体" w:eastAsia="华文楷体" w:cs="宋体"/>
                <w:kern w:val="0"/>
              </w:rPr>
              <w:t>教学环节</w:t>
            </w:r>
          </w:p>
        </w:tc>
        <w:tc>
          <w:tcPr>
            <w:tcW w:w="1833" w:type="pct"/>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支撑</w:t>
            </w:r>
            <w:r>
              <w:rPr>
                <w:rFonts w:ascii="华文楷体" w:hAnsi="华文楷体" w:eastAsia="华文楷体" w:cs="宋体"/>
                <w:kern w:val="0"/>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技能训练</w:t>
            </w: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kern w:val="0"/>
              </w:rPr>
            </w:pP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专业实践</w:t>
            </w: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kern w:val="0"/>
              </w:rPr>
            </w:pP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教育</w:t>
            </w:r>
            <w:r>
              <w:rPr>
                <w:rFonts w:ascii="华文楷体" w:hAnsi="华文楷体" w:eastAsia="华文楷体" w:cs="宋体"/>
                <w:kern w:val="0"/>
              </w:rPr>
              <w:t>实践</w:t>
            </w: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kern w:val="0"/>
              </w:rPr>
            </w:pP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毕业</w:t>
            </w:r>
            <w:r>
              <w:rPr>
                <w:rFonts w:ascii="华文楷体" w:hAnsi="华文楷体" w:eastAsia="华文楷体" w:cs="宋体"/>
                <w:kern w:val="0"/>
              </w:rPr>
              <w:t>设计（</w:t>
            </w:r>
            <w:r>
              <w:rPr>
                <w:rFonts w:hint="eastAsia" w:ascii="华文楷体" w:hAnsi="华文楷体" w:eastAsia="华文楷体" w:cs="宋体"/>
                <w:kern w:val="0"/>
              </w:rPr>
              <w:t>论文</w:t>
            </w:r>
            <w:r>
              <w:rPr>
                <w:rFonts w:ascii="华文楷体" w:hAnsi="华文楷体" w:eastAsia="华文楷体" w:cs="宋体"/>
                <w:kern w:val="0"/>
              </w:rPr>
              <w:t>）</w:t>
            </w: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kern w:val="0"/>
              </w:rPr>
            </w:pPr>
            <w:r>
              <w:rPr>
                <w:rFonts w:hint="eastAsia" w:ascii="华文楷体" w:hAnsi="华文楷体" w:eastAsia="华文楷体" w:cs="宋体"/>
                <w:kern w:val="0"/>
              </w:rPr>
              <w:t>……</w:t>
            </w:r>
          </w:p>
        </w:tc>
        <w:tc>
          <w:tcPr>
            <w:tcW w:w="1462" w:type="pct"/>
          </w:tcPr>
          <w:p>
            <w:pPr>
              <w:pStyle w:val="20"/>
              <w:spacing w:before="120" w:after="120" w:line="288" w:lineRule="auto"/>
              <w:ind w:firstLine="0" w:firstLineChars="0"/>
              <w:rPr>
                <w:rFonts w:ascii="华文楷体" w:hAnsi="华文楷体" w:eastAsia="华文楷体" w:cs="宋体"/>
                <w:kern w:val="0"/>
              </w:rPr>
            </w:pPr>
          </w:p>
        </w:tc>
        <w:tc>
          <w:tcPr>
            <w:tcW w:w="1833" w:type="pct"/>
          </w:tcPr>
          <w:p>
            <w:pPr>
              <w:pStyle w:val="20"/>
              <w:spacing w:before="120" w:after="120" w:line="288" w:lineRule="auto"/>
              <w:ind w:firstLine="0" w:firstLineChars="0"/>
              <w:rPr>
                <w:rFonts w:ascii="华文楷体" w:hAnsi="华文楷体" w:eastAsia="华文楷体" w:cs="宋体"/>
                <w:kern w:val="0"/>
              </w:rPr>
            </w:pPr>
          </w:p>
        </w:tc>
      </w:tr>
    </w:tbl>
    <w:p>
      <w:pPr>
        <w:spacing w:line="288" w:lineRule="auto"/>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实践教学体系与实践课程建设的制度性文件。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技能训练、专业实践、教育实践、毕业设计（论文）等实践课程教学大纲。</w:t>
      </w:r>
    </w:p>
    <w:p>
      <w:pPr>
        <w:adjustRightInd w:val="0"/>
        <w:snapToGrid w:val="0"/>
        <w:rPr>
          <w:rFonts w:ascii="微软雅黑" w:hAnsi="微软雅黑" w:eastAsia="微软雅黑" w:cs="微软雅黑"/>
          <w:color w:val="4B4B4B"/>
          <w:szCs w:val="24"/>
          <w:shd w:val="clear" w:color="auto" w:fill="FFFFFF"/>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4.4［导师队伍］实行高校教师与产业导师、职业学校教师共同指导实践的“三导师”制度。有遴选、评价和支持专业实践和教育实践指导教师的制度与措施。“三导师”数量充足，相对稳定，责权明确，有效履职。</w:t>
      </w:r>
    </w:p>
    <w:p>
      <w:pPr>
        <w:spacing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描述说明学校实行高校教师与产业导师、职业学校教师共同指导实践的“三导师”与具体措施，包括导师遴选、人员配置、实践指导、能力提升、条件保障、考核评价与动态调整等方面。</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描述说明学校对“三导师”的定期业务指导和专业培训开展情况及其成效。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描述说明学校对“三导师”协同育人、有效履职的定期考核以及动态调整情况。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描述说明学校支持教育实践指导教师的专门制度与措施。</w:t>
      </w:r>
    </w:p>
    <w:p>
      <w:pPr>
        <w:numPr>
          <w:ilvl w:val="0"/>
          <w:numId w:val="7"/>
        </w:numPr>
        <w:spacing w:line="288" w:lineRule="auto"/>
        <w:rPr>
          <w:rFonts w:ascii="华文楷体" w:hAnsi="华文楷体" w:eastAsia="华文楷体" w:cs="宋体"/>
          <w:b/>
        </w:rPr>
      </w:pPr>
      <w:r>
        <w:rPr>
          <w:rFonts w:hint="eastAsia" w:ascii="华文楷体" w:hAnsi="华文楷体" w:eastAsia="华文楷体" w:cs="宋体"/>
          <w:b/>
        </w:rPr>
        <w:t>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“三导师”教师名单，包括教师的个人信息和承担教学任务情况</w:t>
      </w:r>
    </w:p>
    <w:p>
      <w:pPr>
        <w:numPr>
          <w:ilvl w:val="0"/>
          <w:numId w:val="4"/>
        </w:numPr>
        <w:ind w:left="0"/>
        <w:rPr>
          <w:rFonts w:ascii="仿宋_GB2312" w:hAnsi="仿宋_GB2312" w:eastAsia="仿宋_GB2312" w:cs="仿宋_GB2312"/>
          <w:szCs w:val="24"/>
        </w:rPr>
      </w:pPr>
      <w:r>
        <w:rPr>
          <w:rFonts w:ascii="仿宋_GB2312" w:hAnsi="仿宋_GB2312" w:eastAsia="仿宋_GB2312" w:cs="仿宋_GB2312"/>
          <w:szCs w:val="24"/>
        </w:rPr>
        <w:t>“</w:t>
      </w:r>
      <w:r>
        <w:rPr>
          <w:rFonts w:hint="eastAsia" w:ascii="仿宋_GB2312" w:hAnsi="仿宋_GB2312" w:eastAsia="仿宋_GB2312" w:cs="仿宋_GB2312"/>
          <w:szCs w:val="24"/>
        </w:rPr>
        <w:t>双导师”教育实践计划、实践指导过程的相关资料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学校和院系对“三导师”开展相关遴选、培训或专业指导活动的相关资料，相关管理制度。</w:t>
      </w:r>
    </w:p>
    <w:p>
      <w:pPr>
        <w:adjustRightInd w:val="0"/>
        <w:snapToGrid w:val="0"/>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ascii="宋体" w:hAnsi="宋体" w:eastAsia="宋体" w:cs="宋体"/>
          <w:szCs w:val="24"/>
          <w:shd w:val="clear" w:color="auto" w:fill="FFFFFF"/>
        </w:rPr>
        <w:t>4.5［管理评价］教育实践与专业实践管理较为规范，能够对重点环节实施质量监控。实行教育实践与专业实践评价与改进制度。依据相关标准，对教育实践与专业实践过程与结果进行有效评价。</w:t>
      </w:r>
    </w:p>
    <w:p>
      <w:pPr>
        <w:spacing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描述学校和院系实践教学管理制度和措施，说明对实验（实训）、教育见习、教育实习研习、课程设计、企业实践或毕业综合训练等实践教学全过程实施质量监控情况及实施成效。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描述说明学校和院系依据实践教学质量监控具体数据，实行教育实践、专业实践评价与改进制度情况。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描述说明职业技术师范教育专业师范生教育实践标准，对实践能力和教育教学反思能力的考核评价方式及效果分析。</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描述实施师范生实践教学个别化教育和指导情况，并进行效果分析。</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依据毕业要求和“双师型”教师实践要求，制订可衡量的教育实践（包括师德体验、教学教研、班级管理等）表现性考核标准，形成教育实践能力达成情况评价与改进报告。</w:t>
      </w:r>
    </w:p>
    <w:p>
      <w:pPr>
        <w:spacing w:line="288" w:lineRule="auto"/>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r>
        <w:rPr>
          <w:rFonts w:ascii="仿宋_GB2312" w:hAnsi="仿宋_GB2312" w:eastAsia="仿宋_GB2312" w:cs="仿宋_GB2312"/>
          <w:szCs w:val="24"/>
        </w:rPr>
        <w:t></w:t>
      </w:r>
      <w:r>
        <w:rPr>
          <w:rFonts w:ascii="仿宋_GB2312" w:hAnsi="仿宋_GB2312" w:eastAsia="仿宋_GB2312" w:cs="仿宋_GB2312"/>
          <w:szCs w:val="24"/>
        </w:rPr>
        <w:tab/>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师范生教育实践标准</w:t>
      </w:r>
      <w:r>
        <w:rPr>
          <w:rFonts w:ascii="仿宋_GB2312" w:hAnsi="仿宋_GB2312" w:eastAsia="仿宋_GB2312" w:cs="仿宋_GB2312"/>
          <w:szCs w:val="24"/>
        </w:rPr>
        <w:t></w:t>
      </w:r>
      <w:r>
        <w:rPr>
          <w:rFonts w:ascii="仿宋_GB2312" w:hAnsi="仿宋_GB2312" w:eastAsia="仿宋_GB2312" w:cs="仿宋_GB2312"/>
          <w:szCs w:val="24"/>
        </w:rPr>
        <w:tab/>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教育实践表现性评价标准</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教育实践能力达成情况评价与改进报告</w:t>
      </w:r>
    </w:p>
    <w:p>
      <w:pPr>
        <w:adjustRightInd w:val="0"/>
        <w:snapToGrid w:val="0"/>
        <w:jc w:val="left"/>
        <w:outlineLvl w:val="1"/>
        <w:rPr>
          <w:rFonts w:ascii="微软雅黑" w:hAnsi="微软雅黑" w:eastAsia="微软雅黑"/>
          <w:b/>
          <w:kern w:val="44"/>
          <w:szCs w:val="24"/>
        </w:rPr>
      </w:pPr>
      <w:bookmarkStart w:id="51" w:name="_Toc58064543"/>
      <w:bookmarkStart w:id="52" w:name="_Toc15024"/>
      <w:r>
        <w:rPr>
          <w:rFonts w:hint="eastAsia" w:ascii="微软雅黑" w:hAnsi="微软雅黑" w:eastAsia="微软雅黑"/>
          <w:b/>
          <w:kern w:val="44"/>
          <w:szCs w:val="24"/>
        </w:rPr>
        <w:t>第二部分：主要问题</w:t>
      </w:r>
      <w:bookmarkEnd w:id="51"/>
      <w:bookmarkEnd w:id="52"/>
    </w:p>
    <w:p>
      <w:pPr>
        <w:spacing w:before="156" w:beforeLines="50" w:after="156" w:afterLines="50"/>
        <w:jc w:val="left"/>
        <w:rPr>
          <w:rFonts w:ascii="楷体" w:hAnsi="楷体" w:cs="楷体"/>
          <w:szCs w:val="28"/>
        </w:rPr>
      </w:pPr>
      <w:bookmarkStart w:id="53"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3"/>
    <w:p>
      <w:pPr>
        <w:jc w:val="left"/>
        <w:rPr>
          <w:rFonts w:ascii="宋体" w:hAnsi="宋体" w:eastAsia="宋体" w:cs="宋体"/>
          <w:szCs w:val="24"/>
        </w:rPr>
      </w:pPr>
      <w:r>
        <w:rPr>
          <w:rFonts w:hint="eastAsia" w:ascii="宋体" w:hAnsi="宋体" w:eastAsia="宋体" w:cs="宋体"/>
          <w:szCs w:val="24"/>
        </w:rPr>
        <w:t xml:space="preserve">4.1 [协同育人]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4.2 [基地建设]</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4.3 [实践教学]</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4.4 [导师队伍]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4.5 [管理评价]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54" w:name="_Toc58064544"/>
      <w:bookmarkStart w:id="55" w:name="_Toc11389"/>
      <w:r>
        <w:rPr>
          <w:rFonts w:hint="eastAsia" w:ascii="微软雅黑" w:hAnsi="微软雅黑" w:eastAsia="微软雅黑"/>
          <w:b/>
          <w:kern w:val="44"/>
          <w:szCs w:val="24"/>
        </w:rPr>
        <w:t>第三部分：改进措施</w:t>
      </w:r>
      <w:bookmarkEnd w:id="54"/>
      <w:bookmarkEnd w:id="55"/>
    </w:p>
    <w:p>
      <w:pPr>
        <w:spacing w:before="156" w:beforeLines="50" w:after="156" w:afterLines="50"/>
        <w:jc w:val="left"/>
        <w:rPr>
          <w:rFonts w:ascii="楷体" w:hAnsi="楷体" w:cs="楷体"/>
          <w:szCs w:val="28"/>
        </w:rPr>
      </w:pPr>
      <w:bookmarkStart w:id="5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6"/>
    <w:p>
      <w:pPr>
        <w:jc w:val="left"/>
        <w:rPr>
          <w:rFonts w:ascii="宋体" w:hAnsi="宋体" w:eastAsia="宋体" w:cs="宋体"/>
          <w:szCs w:val="24"/>
        </w:rPr>
      </w:pPr>
      <w:r>
        <w:rPr>
          <w:rFonts w:hint="eastAsia" w:ascii="宋体" w:hAnsi="宋体" w:eastAsia="宋体" w:cs="宋体"/>
          <w:szCs w:val="24"/>
        </w:rPr>
        <w:t xml:space="preserve">4.1 [协同育人]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4.2 [基地建设]</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4.3 [实践教学]</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4.4 [导师队伍]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4.5 [管理评价] </w:t>
      </w:r>
    </w:p>
    <w:p>
      <w:pPr>
        <w:jc w:val="left"/>
        <w:rPr>
          <w:rFonts w:ascii="宋体" w:hAnsi="宋体" w:eastAsia="宋体" w:cs="宋体"/>
          <w:szCs w:val="24"/>
        </w:rPr>
      </w:pPr>
      <w:r>
        <w:rPr>
          <w:rFonts w:hint="eastAsia" w:ascii="宋体" w:hAnsi="宋体" w:eastAsia="宋体" w:cs="宋体"/>
          <w:szCs w:val="24"/>
        </w:rPr>
        <w:t>……</w:t>
      </w:r>
    </w:p>
    <w:p>
      <w:pPr>
        <w:adjustRightInd w:val="0"/>
        <w:snapToGrid w:val="0"/>
        <w:rPr>
          <w:rFonts w:ascii="宋体" w:hAnsi="宋体" w:eastAsia="宋体" w:cs="宋体"/>
          <w:color w:val="4B4B4B"/>
          <w:szCs w:val="24"/>
          <w:shd w:val="clear" w:color="auto" w:fill="FFFFFF"/>
        </w:rPr>
      </w:pPr>
    </w:p>
    <w:p>
      <w:pPr>
        <w:pStyle w:val="2"/>
        <w:spacing w:line="240" w:lineRule="auto"/>
        <w:rPr>
          <w:rFonts w:ascii="微软雅黑" w:hAnsi="微软雅黑" w:eastAsia="微软雅黑"/>
          <w:b/>
        </w:rPr>
      </w:pPr>
      <w:bookmarkStart w:id="57" w:name="_Toc58064545"/>
      <w:bookmarkStart w:id="58" w:name="_Toc5178"/>
      <w:r>
        <w:rPr>
          <w:rFonts w:hint="eastAsia" w:ascii="微软雅黑" w:hAnsi="微软雅黑" w:eastAsia="微软雅黑"/>
          <w:b/>
        </w:rPr>
        <w:t>标准5师资队伍</w:t>
      </w:r>
      <w:bookmarkEnd w:id="57"/>
      <w:bookmarkEnd w:id="58"/>
    </w:p>
    <w:p>
      <w:pPr>
        <w:adjustRightInd w:val="0"/>
        <w:snapToGrid w:val="0"/>
        <w:jc w:val="left"/>
        <w:outlineLvl w:val="1"/>
        <w:rPr>
          <w:rFonts w:ascii="微软雅黑" w:hAnsi="微软雅黑" w:eastAsia="微软雅黑"/>
          <w:b/>
          <w:kern w:val="44"/>
          <w:szCs w:val="24"/>
        </w:rPr>
      </w:pPr>
      <w:bookmarkStart w:id="59" w:name="_Toc3716"/>
      <w:bookmarkStart w:id="60" w:name="_Toc58064546"/>
      <w:r>
        <w:rPr>
          <w:rFonts w:hint="eastAsia" w:ascii="微软雅黑" w:hAnsi="微软雅黑" w:eastAsia="微软雅黑"/>
          <w:b/>
          <w:kern w:val="44"/>
          <w:szCs w:val="24"/>
        </w:rPr>
        <w:t>第一部分：达成情况</w:t>
      </w:r>
      <w:bookmarkEnd w:id="59"/>
      <w:bookmarkEnd w:id="60"/>
    </w:p>
    <w:p>
      <w:pPr>
        <w:jc w:val="left"/>
        <w:rPr>
          <w:rFonts w:ascii="楷体" w:hAnsi="楷体" w:cs="宋体"/>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jc w:val="left"/>
        <w:rPr>
          <w:rFonts w:ascii="楷体" w:hAnsi="楷体" w:cs="宋体"/>
        </w:rPr>
      </w:pPr>
    </w:p>
    <w:p>
      <w:pPr>
        <w:adjustRightInd w:val="0"/>
        <w:snapToGrid w:val="0"/>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5.1［数量结构］专任教师数量结构能够适应本专业教学和发展的需要，生师比不高于18:1，硕士、博士学位教师占比不低于60%，高级职称教师比例不低于学校平均水平，且全员为师范生上课。配足建强教师教育课程教师团队</w:t>
      </w:r>
      <w:r>
        <w:rPr>
          <w:rFonts w:hint="eastAsia" w:ascii="宋体" w:hAnsi="宋体" w:eastAsia="宋体" w:cs="宋体"/>
          <w:szCs w:val="24"/>
          <w:shd w:val="clear" w:color="auto" w:fill="FFFFFF"/>
        </w:rPr>
        <w:t>，其中专业教学法教师原则上不少于</w:t>
      </w:r>
      <w:r>
        <w:rPr>
          <w:rFonts w:ascii="宋体" w:hAnsi="宋体" w:eastAsia="宋体" w:cs="宋体"/>
          <w:szCs w:val="24"/>
          <w:shd w:val="clear" w:color="auto" w:fill="FFFFFF"/>
        </w:rPr>
        <w:t>2人</w:t>
      </w:r>
      <w:r>
        <w:rPr>
          <w:rFonts w:hint="eastAsia" w:ascii="宋体" w:hAnsi="宋体" w:eastAsia="宋体" w:cs="宋体"/>
          <w:szCs w:val="24"/>
          <w:shd w:val="clear" w:color="auto" w:fill="FFFFFF"/>
        </w:rPr>
        <w:t>。</w:t>
      </w:r>
      <w:r>
        <w:rPr>
          <w:rFonts w:hint="eastAsia" w:ascii="宋体" w:hAnsi="宋体" w:eastAsia="宋体" w:cs="宋体"/>
          <w:color w:val="4B4B4B"/>
          <w:szCs w:val="24"/>
          <w:shd w:val="clear" w:color="auto" w:fill="FFFFFF"/>
        </w:rPr>
        <w:t>兼职教师素质良好、队伍稳定，能够满足中等职业学校专业教师培养的需要，与专任教师比例不低于1:5。</w:t>
      </w:r>
    </w:p>
    <w:p>
      <w:pPr>
        <w:spacing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列表说明专业专任教师数量、结构、生师比情况，并进行分析（《专业教学状态数据分析报告》有相关数据信息）。</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以列表方式提供本专业所有专任教师为本科生上课的情况，并对高级职称教师投入本科一线教学的情况进行分析（《专业教学状态数据分析报告》有相关数据信息）。</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描述说明配足建强教师教育课程教师团队情况，具体说明专业教学法教师人数。</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描述说明近三年专业兼职教师队伍建设和发展满足学生发展需要的情况。</w:t>
      </w:r>
    </w:p>
    <w:p>
      <w:pPr>
        <w:spacing w:line="288" w:lineRule="auto"/>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教师名单，包括教师的个人信息和承担教学任务情况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兼职教师名单，包括教师的个人信息和承担教学任务情况</w:t>
      </w:r>
    </w:p>
    <w:p>
      <w:pPr>
        <w:ind w:left="-420"/>
        <w:rPr>
          <w:rFonts w:ascii="仿宋_GB2312" w:hAnsi="仿宋_GB2312" w:eastAsia="仿宋_GB2312" w:cs="仿宋_GB2312"/>
          <w:szCs w:val="24"/>
        </w:rPr>
      </w:pPr>
    </w:p>
    <w:p>
      <w:pPr>
        <w:adjustRightInd w:val="0"/>
        <w:snapToGrid w:val="0"/>
        <w:jc w:val="left"/>
        <w:rPr>
          <w:rFonts w:ascii="宋体" w:hAnsi="宋体" w:eastAsia="宋体" w:cs="宋体"/>
          <w:color w:val="4B4B4B"/>
          <w:szCs w:val="24"/>
          <w:shd w:val="clear" w:color="auto" w:fill="FFFFFF"/>
        </w:rPr>
      </w:pPr>
      <w:r>
        <w:rPr>
          <w:rFonts w:hint="eastAsia" w:ascii="宋体" w:hAnsi="宋体" w:eastAsia="宋体" w:cs="宋体"/>
          <w:color w:val="4B4B4B"/>
          <w:szCs w:val="24"/>
          <w:shd w:val="clear" w:color="auto" w:fill="FFFFFF"/>
        </w:rPr>
        <w:t>5.2［素质能力］遵守高校教师职业道德规范，为人师表，言传身教；以德育人，以生为本、以学定教，具有较强的课堂教学、实践教学、信息技术应用和学习指导等教育教学能力；以德施教，严谨治学，具有一定的学术水平和研究能力。具有职前养成和职后发展一体化指导能力，能够有效指导师范生发展与职业规划。师范生对本专业专任教师、兼职教师师德和教学具有较高的满意度。</w:t>
      </w:r>
    </w:p>
    <w:p>
      <w:pPr>
        <w:spacing w:line="288" w:lineRule="auto"/>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描述说明学校加强专业专任教师队伍师德师风和素质能力建设的制度和措施，及这些制度和措施发挥的作用。</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描述说明常态化学生评教制度与标准，包括学生对专任教师、兼职教师评价和满意度。</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描述说明专业专任教师的中等职业教育教学改革研究成果以及将科研成果有效应用于促进教育教学改革情况。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描述专业专任教师为学生提供职前养成和职后发展一体化指导的情况。</w:t>
      </w:r>
    </w:p>
    <w:p>
      <w:pPr>
        <w:spacing w:line="288" w:lineRule="auto"/>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相关研究成果的证据材料（在附件中提供索引）</w:t>
      </w:r>
    </w:p>
    <w:p>
      <w:pPr>
        <w:rPr>
          <w:rFonts w:ascii="仿宋_GB2312" w:hAnsi="仿宋_GB2312" w:eastAsia="仿宋_GB2312" w:cs="仿宋_GB2312"/>
          <w:szCs w:val="24"/>
        </w:rPr>
      </w:pPr>
    </w:p>
    <w:p>
      <w:pPr>
        <w:adjustRightInd w:val="0"/>
        <w:snapToGrid w:val="0"/>
        <w:jc w:val="left"/>
        <w:rPr>
          <w:rFonts w:ascii="宋体" w:hAnsi="宋体" w:eastAsia="宋体" w:cs="宋体"/>
          <w:color w:val="FF0000"/>
          <w:szCs w:val="24"/>
          <w:shd w:val="clear" w:color="auto" w:fill="FFFFFF"/>
        </w:rPr>
      </w:pPr>
      <w:r>
        <w:rPr>
          <w:rFonts w:ascii="宋体" w:hAnsi="宋体" w:eastAsia="宋体" w:cs="宋体"/>
          <w:szCs w:val="24"/>
          <w:shd w:val="clear" w:color="auto" w:fill="FFFFFF"/>
        </w:rPr>
        <w:t>5.3［“双师型”教师］具备理论教学和实践教学能力；坚持企业实践制度，跟踪产业技术发展前沿，吸收先进的职业教育教学改革成果，具有较强的专业教学能力和实践能力。“双师型”教师</w:t>
      </w:r>
      <w:r>
        <w:rPr>
          <w:rFonts w:hint="eastAsia" w:ascii="宋体" w:hAnsi="宋体" w:eastAsia="宋体" w:cs="宋体"/>
          <w:szCs w:val="24"/>
          <w:shd w:val="clear" w:color="auto" w:fill="FFFFFF"/>
        </w:rPr>
        <w:t>占专业课程教师比例不低于</w:t>
      </w:r>
      <w:r>
        <w:rPr>
          <w:rFonts w:ascii="宋体" w:hAnsi="宋体" w:eastAsia="宋体" w:cs="宋体"/>
          <w:szCs w:val="24"/>
          <w:shd w:val="clear" w:color="auto" w:fill="FFFFFF"/>
        </w:rPr>
        <w:t>40%。</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列表说明“双师型”教师占专业课程教师比例情况。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描述专业坚持实践制度，跟踪产业技术发展前沿，吸收先进的职业教育教学改革成果情况。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描述说明“双导师”教师的专业教学能力和实践能力建设与发展情况。</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“双师型“教师队伍建设等相关制度文件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证明“双师型”教师的企业经历、职业资格或技能等级证书等的证据材料（在附件中提供索引）</w:t>
      </w:r>
    </w:p>
    <w:p>
      <w:pPr>
        <w:adjustRightInd w:val="0"/>
        <w:snapToGrid w:val="0"/>
        <w:jc w:val="left"/>
        <w:rPr>
          <w:rFonts w:ascii="仿宋_GB2312" w:hAnsi="仿宋_GB2312" w:eastAsia="仿宋_GB2312" w:cs="仿宋_GB2312"/>
          <w:szCs w:val="24"/>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5.4［实践经历］专业课教师了解相关行业企业用人标准、岗位职责、操作规范和技能要求，熟悉中等职业学校教师专业标准和对应的职业标准，每年至少1个月在企业或实训基地实训，具有指导实践教学的能力。教师教育课程教师熟悉中等职业学校教师专业标准和中等职业教育教学工作，至少有累计半年的中等职业学校教育服务经历，具有指导、分析、解决中等职业学校教育教学实际问题的能力，并有一定的职业教育研究成果。</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描述说明学校和院系两级在鼓励学科专业课教师深入企业一线方面采取的制度和措施。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描述分析这些制度和措施在激励和保障专业教师通过实践形成丰富的教学研究成果中发挥的作用。</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以列表的方式呈现专业课教师近五年的职业教育研究成果。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描述说明校和院系保障教师教育课程教师累计不少于半年的中等职业学校教育服务经历的制度与工作成效。</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相关研究成果的证据材料（在附件中提供索引）</w:t>
      </w:r>
      <w:bookmarkStart w:id="61" w:name="_Hlk62468462"/>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教师教育师资中等职业学校教育服务经历的资料</w:t>
      </w:r>
      <w:bookmarkEnd w:id="61"/>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5.5［持续发展］制定并实施教师队伍建设规划。建立教师培训和实践研修制度。建立专业教研组织，定期开展教研活动。建立教师分类评价制度，评价结果与绩效分配、职称评聘挂钩。探索高校和中等职业学校或行业企业“协同教研”“双向交流”“岗位互换”等共赢发展机制。</w:t>
      </w:r>
    </w:p>
    <w:p>
      <w:pPr>
        <w:rPr>
          <w:rFonts w:ascii="华文楷体" w:hAnsi="华文楷体" w:eastAsia="华文楷体" w:cs="宋体"/>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描述说明专业师资队伍建设规划的制定情况及实施成效。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描述说明学校和学院在专业教师队伍培养培训方面的制度和措施。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列表说明专业教师特别是青年教师国内外进修访学、行业企业实践锻炼、教学技能与方法培训情况，并对培养培训提升教师教学水平效果进行分析（《专业教学状态数据分析报告》有相关数据信息）。</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以列表方式呈现近三年开展教师自我评价（主要指通过课程评价进行教学改进）、学生评价、同行评价、督导评价活动情况及结果。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描述说明综合评价结果与校内绩效分配、职称晋升的挂钩情况，及对教师教学质量提升的作用。</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描述说明学校探索建设高校与中等职业学校或行业企业“协同教研”“双向互聘”“岗位互换”等共同发展机制的情况。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描述学校建立的教师分类评价制度，专业课程与教学论等教师教育实践类课程教师的评价标准，说明综合评价结果与校内绩效分配、职称晋升的挂钩情况，及对教师教学质量提升的作用。</w:t>
      </w:r>
    </w:p>
    <w:p>
      <w:pPr>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相关评价情况的证据材料（在附件中提供索引）</w:t>
      </w:r>
    </w:p>
    <w:p>
      <w:pPr>
        <w:adjustRightInd w:val="0"/>
        <w:snapToGrid w:val="0"/>
        <w:jc w:val="left"/>
        <w:outlineLvl w:val="1"/>
        <w:rPr>
          <w:rFonts w:ascii="微软雅黑" w:hAnsi="微软雅黑" w:eastAsia="微软雅黑"/>
          <w:b/>
          <w:kern w:val="44"/>
          <w:szCs w:val="24"/>
        </w:rPr>
      </w:pPr>
      <w:bookmarkStart w:id="62" w:name="_Toc4182"/>
      <w:bookmarkStart w:id="63" w:name="_Toc58064547"/>
      <w:r>
        <w:rPr>
          <w:rFonts w:hint="eastAsia" w:ascii="微软雅黑" w:hAnsi="微软雅黑" w:eastAsia="微软雅黑"/>
          <w:b/>
          <w:kern w:val="44"/>
          <w:szCs w:val="24"/>
        </w:rPr>
        <w:t>第二部分：主要问题</w:t>
      </w:r>
      <w:bookmarkEnd w:id="62"/>
      <w:bookmarkEnd w:id="63"/>
    </w:p>
    <w:p>
      <w:pPr>
        <w:spacing w:before="156" w:beforeLines="50" w:after="156" w:afterLines="50"/>
        <w:jc w:val="left"/>
        <w:rPr>
          <w:rFonts w:ascii="楷体" w:hAnsi="楷体" w:cs="楷体"/>
          <w:szCs w:val="28"/>
        </w:rPr>
      </w:pPr>
      <w:bookmarkStart w:id="64"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jc w:val="left"/>
        <w:rPr>
          <w:rFonts w:ascii="宋体" w:hAnsi="宋体" w:eastAsia="宋体" w:cs="宋体"/>
          <w:szCs w:val="24"/>
        </w:rPr>
      </w:pPr>
      <w:r>
        <w:rPr>
          <w:rFonts w:hint="eastAsia" w:ascii="宋体" w:hAnsi="宋体" w:eastAsia="宋体" w:cs="宋体"/>
          <w:szCs w:val="24"/>
        </w:rPr>
        <w:t xml:space="preserve">5.1 [数量结构]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5.2[素质能力]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5.3［“双师型”教师］</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5.4[实践经历]</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5.5 [持续发展]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65" w:name="_Toc58064548"/>
      <w:bookmarkStart w:id="66" w:name="_Toc26940"/>
      <w:r>
        <w:rPr>
          <w:rFonts w:hint="eastAsia" w:ascii="微软雅黑" w:hAnsi="微软雅黑" w:eastAsia="微软雅黑"/>
          <w:b/>
          <w:kern w:val="44"/>
          <w:szCs w:val="24"/>
        </w:rPr>
        <w:t>第三部分：改进措施</w:t>
      </w:r>
      <w:bookmarkEnd w:id="65"/>
      <w:bookmarkEnd w:id="66"/>
    </w:p>
    <w:p>
      <w:pPr>
        <w:spacing w:before="156" w:beforeLines="50" w:after="156" w:afterLines="50"/>
        <w:jc w:val="left"/>
        <w:rPr>
          <w:rFonts w:ascii="楷体" w:hAnsi="楷体" w:cs="楷体"/>
          <w:szCs w:val="28"/>
        </w:rPr>
      </w:pPr>
      <w:bookmarkStart w:id="67"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7"/>
    <w:p>
      <w:pPr>
        <w:jc w:val="left"/>
        <w:rPr>
          <w:rFonts w:ascii="宋体" w:hAnsi="宋体" w:eastAsia="宋体" w:cs="宋体"/>
          <w:szCs w:val="24"/>
        </w:rPr>
      </w:pPr>
      <w:r>
        <w:rPr>
          <w:rFonts w:hint="eastAsia" w:ascii="宋体" w:hAnsi="宋体" w:eastAsia="宋体" w:cs="宋体"/>
          <w:szCs w:val="24"/>
        </w:rPr>
        <w:t xml:space="preserve">5.1 [数量结构]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5.2[素质能力]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5.3［“双师型”教师］</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5.4[实践经历]</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5.5 [持续发展]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rPr>
          <w:rFonts w:ascii="宋体" w:hAnsi="宋体" w:eastAsia="宋体" w:cs="宋体"/>
          <w:szCs w:val="24"/>
          <w:shd w:val="clear" w:color="auto" w:fill="FFFFFF"/>
        </w:rPr>
      </w:pPr>
    </w:p>
    <w:p>
      <w:pPr>
        <w:pStyle w:val="2"/>
        <w:spacing w:line="240" w:lineRule="auto"/>
        <w:rPr>
          <w:rFonts w:ascii="微软雅黑" w:hAnsi="微软雅黑" w:eastAsia="微软雅黑"/>
          <w:b/>
        </w:rPr>
      </w:pPr>
      <w:bookmarkStart w:id="68" w:name="_Toc58064549"/>
      <w:bookmarkStart w:id="69" w:name="_Toc29224"/>
      <w:r>
        <w:rPr>
          <w:rFonts w:hint="eastAsia" w:ascii="微软雅黑" w:hAnsi="微软雅黑" w:eastAsia="微软雅黑"/>
          <w:b/>
        </w:rPr>
        <w:t>标准6支持条件</w:t>
      </w:r>
      <w:bookmarkEnd w:id="68"/>
      <w:bookmarkEnd w:id="69"/>
    </w:p>
    <w:p>
      <w:pPr>
        <w:adjustRightInd w:val="0"/>
        <w:snapToGrid w:val="0"/>
        <w:jc w:val="left"/>
        <w:outlineLvl w:val="1"/>
        <w:rPr>
          <w:rFonts w:ascii="微软雅黑" w:hAnsi="微软雅黑" w:eastAsia="微软雅黑"/>
          <w:b/>
          <w:kern w:val="44"/>
          <w:szCs w:val="24"/>
        </w:rPr>
      </w:pPr>
      <w:bookmarkStart w:id="70" w:name="_Toc58064550"/>
      <w:bookmarkStart w:id="71" w:name="_Toc20607"/>
      <w:r>
        <w:rPr>
          <w:rFonts w:hint="eastAsia" w:ascii="微软雅黑" w:hAnsi="微软雅黑" w:eastAsia="微软雅黑"/>
          <w:b/>
          <w:kern w:val="44"/>
          <w:szCs w:val="24"/>
        </w:rPr>
        <w:t>第一部分：达成情况</w:t>
      </w:r>
      <w:bookmarkEnd w:id="70"/>
      <w:bookmarkEnd w:id="71"/>
    </w:p>
    <w:p>
      <w:pPr>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6.1［经费保障］专业建设经费满足师范生培养需求，教学日常运行支出占生均拨款总额与学费收入之和的比例不低于13%，生均教学日常运行支出不低于学校平均水平，生均实践教学经费支出不低于学校平均水平。教学设施设备和图书资料等更新经费有标准和预决算。</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描述说明学校和院系保证专业教学经费足额投入并逐年增长的制度和采取的措施。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描述说明学校和院系在学生实验、技能训练、实习和毕业论文（设计）上的生均经费投入情况及满足专业教学需要情况。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列表说明近三年学校和院系用于专业教学的经费收支情况。</w:t>
      </w:r>
    </w:p>
    <w:tbl>
      <w:tblPr>
        <w:tblStyle w:val="11"/>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pPr>
              <w:tabs>
                <w:tab w:val="left" w:pos="5103"/>
              </w:tabs>
              <w:spacing w:before="156" w:beforeLines="50"/>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bl>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学校教学经费预算、下拨和使用的相关规定和标准</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经费支出清单</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6.2［设施保障］教育教学设施设备满足师范生培养要求。建有师范生教学技能、专业技能实训平台，满足“三字一话”、微格教学、实验教学、专业技能实训、专业综合实践等实践教学需要。信息化教育设施设备能够适应师范生信息素养培养要求。建有教育教学设施设备管理、维护、更新和共享机制，方便师范生使用。</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学校和院系用于专业教学的主要专业和教学实验室、专业技能实训室、教师职业技能实训平台和在线教学观摩指导平台，满足“三字一话”、微格教学、实验教学、专业技能训练、远程见习等实践教学需要情况。（《专业教学状态数据分析报告》有相关数据信息）</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描述说明现代信息技术与专业教学工作进行融合用以支撑教学改革与师范生学习方式转变情况。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描述说明这些设施设备是否满足专业教师和学生教学需求，专业与管理部门的信息沟通渠道，以及专业设施使用绩效评价考核机制。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专业教育教学设施的管理、维护、更新和共享机制的制度、措施和执行情况。</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相关制度和措施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相关实训平台清单和所承担的教学任务</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6.3［资源保障］专业教学资源满足师范生培养需要，数字化教学资源较为丰富，使用率较高。生均专业类和教育类纸质图书不少于40册。建有中等职业学校教材资源库和优秀中等职业学校教育教学案例库，其中现行中等职业学校专业教学标准和教材每10名实习生不少于1套。</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描述说明职业技术师范教育专业相关数字化教学资源建设和使用，以及满足师范生学习需要情况。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描述或列表说明图书资源、网络信息服务专业教学的情况和管理情况。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描述说明用于图书资料等更新的经费标准和预决算情况，特别是中等职业学校教材资源库和优秀中等职业学校教育教学案例库建设情况、使用与激励机制。</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相关管理规定</w:t>
      </w:r>
      <w:bookmarkStart w:id="72" w:name="_Hlk62468666"/>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教材资源库和优秀中等职业学校教育教学案例库的设备设施、资源配置与管理使用情况等相关材料</w:t>
      </w:r>
      <w:bookmarkEnd w:id="72"/>
    </w:p>
    <w:p>
      <w:pPr>
        <w:adjustRightInd w:val="0"/>
        <w:snapToGrid w:val="0"/>
        <w:jc w:val="left"/>
        <w:outlineLvl w:val="1"/>
        <w:rPr>
          <w:rFonts w:ascii="微软雅黑" w:hAnsi="微软雅黑" w:eastAsia="微软雅黑"/>
          <w:b/>
          <w:kern w:val="44"/>
          <w:szCs w:val="24"/>
        </w:rPr>
      </w:pPr>
      <w:bookmarkStart w:id="73" w:name="_Toc58064551"/>
      <w:bookmarkStart w:id="74" w:name="_Toc28248"/>
      <w:r>
        <w:rPr>
          <w:rFonts w:hint="eastAsia" w:ascii="微软雅黑" w:hAnsi="微软雅黑" w:eastAsia="微软雅黑"/>
          <w:b/>
          <w:kern w:val="44"/>
          <w:szCs w:val="24"/>
        </w:rPr>
        <w:t>第二部分：主要问题</w:t>
      </w:r>
      <w:bookmarkEnd w:id="73"/>
      <w:bookmarkEnd w:id="74"/>
    </w:p>
    <w:p>
      <w:pPr>
        <w:spacing w:before="156" w:beforeLines="50" w:after="156" w:afterLines="50"/>
        <w:jc w:val="left"/>
        <w:rPr>
          <w:rFonts w:ascii="楷体" w:hAnsi="楷体" w:cs="楷体"/>
          <w:szCs w:val="28"/>
        </w:rPr>
      </w:pPr>
      <w:bookmarkStart w:id="75"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5"/>
    <w:p>
      <w:pPr>
        <w:jc w:val="left"/>
        <w:rPr>
          <w:rFonts w:ascii="宋体" w:hAnsi="宋体" w:eastAsia="宋体" w:cs="宋体"/>
          <w:szCs w:val="24"/>
        </w:rPr>
      </w:pPr>
      <w:r>
        <w:rPr>
          <w:rFonts w:hint="eastAsia" w:ascii="宋体" w:hAnsi="宋体" w:eastAsia="宋体" w:cs="宋体"/>
          <w:szCs w:val="24"/>
        </w:rPr>
        <w:t xml:space="preserve">6.1 [经费保障]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6.2 [设施保障]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6.3 [资源保障]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76" w:name="_Toc15779"/>
      <w:bookmarkStart w:id="77" w:name="_Toc58064552"/>
      <w:r>
        <w:rPr>
          <w:rFonts w:hint="eastAsia" w:ascii="微软雅黑" w:hAnsi="微软雅黑" w:eastAsia="微软雅黑"/>
          <w:b/>
          <w:kern w:val="44"/>
          <w:szCs w:val="24"/>
        </w:rPr>
        <w:t>第三部分：改进措施</w:t>
      </w:r>
      <w:bookmarkEnd w:id="76"/>
      <w:bookmarkEnd w:id="77"/>
    </w:p>
    <w:p>
      <w:pPr>
        <w:spacing w:before="156" w:beforeLines="50" w:after="156" w:afterLines="50"/>
        <w:jc w:val="left"/>
        <w:rPr>
          <w:rFonts w:ascii="楷体" w:hAnsi="楷体" w:cs="楷体"/>
          <w:szCs w:val="28"/>
        </w:rPr>
      </w:pPr>
      <w:bookmarkStart w:id="78"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8"/>
    <w:p>
      <w:pPr>
        <w:jc w:val="left"/>
        <w:rPr>
          <w:rFonts w:ascii="宋体" w:hAnsi="宋体" w:eastAsia="宋体" w:cs="宋体"/>
          <w:szCs w:val="24"/>
        </w:rPr>
      </w:pPr>
      <w:r>
        <w:rPr>
          <w:rFonts w:hint="eastAsia" w:ascii="宋体" w:hAnsi="宋体" w:eastAsia="宋体" w:cs="宋体"/>
          <w:szCs w:val="24"/>
        </w:rPr>
        <w:t xml:space="preserve">6.1 [经费保障]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6.2 [设施保障]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6.3 [资源保障]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rPr>
          <w:rFonts w:ascii="宋体" w:hAnsi="宋体" w:eastAsia="宋体" w:cs="宋体"/>
          <w:szCs w:val="24"/>
          <w:shd w:val="clear" w:color="auto" w:fill="FFFFFF"/>
        </w:rPr>
      </w:pPr>
    </w:p>
    <w:p>
      <w:pPr>
        <w:pStyle w:val="2"/>
        <w:spacing w:line="240" w:lineRule="auto"/>
        <w:rPr>
          <w:rFonts w:ascii="微软雅黑" w:hAnsi="微软雅黑" w:eastAsia="微软雅黑"/>
          <w:b/>
        </w:rPr>
      </w:pPr>
      <w:bookmarkStart w:id="79" w:name="_Toc6898"/>
      <w:bookmarkStart w:id="80" w:name="_Toc58064553"/>
      <w:r>
        <w:rPr>
          <w:rFonts w:hint="eastAsia" w:ascii="微软雅黑" w:hAnsi="微软雅黑" w:eastAsia="微软雅黑"/>
          <w:b/>
        </w:rPr>
        <w:t>标准7 质量保障</w:t>
      </w:r>
      <w:bookmarkEnd w:id="79"/>
      <w:bookmarkEnd w:id="80"/>
    </w:p>
    <w:p>
      <w:pPr>
        <w:adjustRightInd w:val="0"/>
        <w:snapToGrid w:val="0"/>
        <w:jc w:val="left"/>
        <w:outlineLvl w:val="1"/>
        <w:rPr>
          <w:rFonts w:ascii="微软雅黑" w:hAnsi="微软雅黑" w:eastAsia="微软雅黑"/>
          <w:b/>
          <w:kern w:val="44"/>
          <w:szCs w:val="24"/>
        </w:rPr>
      </w:pPr>
      <w:bookmarkStart w:id="81" w:name="_Toc58064554"/>
      <w:bookmarkStart w:id="82" w:name="_Toc4200"/>
      <w:r>
        <w:rPr>
          <w:rFonts w:hint="eastAsia" w:ascii="微软雅黑" w:hAnsi="微软雅黑" w:eastAsia="微软雅黑"/>
          <w:b/>
          <w:kern w:val="44"/>
          <w:szCs w:val="24"/>
        </w:rPr>
        <w:t>第一部分：达成情况</w:t>
      </w:r>
      <w:bookmarkEnd w:id="81"/>
      <w:bookmarkEnd w:id="8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7.1［保障体系］建立教学质量保障体系，各主要教学环节有明确的质量要求。质量保障主体意识强、目标清晰，任务明确，机构健全，责任到人，能够有效支持毕业要求达成。</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描述说明学校和院系两级教学质量保障体系架构与运行方式。</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描述说明学校和院系两级教学质量保障机构、目标、任务、职责分工、责任人及对保障学生有效学习、获得学习效果（专业毕业要求）支持作用。</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列表说明各主要教学环节的质量要求与毕业要求的关联情况及要点，描述对专业教学过程常态化监控的方法和质量评价的周期，明确每个教学环节质量监控和评价的主要责任人。</w:t>
      </w:r>
    </w:p>
    <w:tbl>
      <w:tblPr>
        <w:tblStyle w:val="11"/>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1742"/>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9" w:type="dxa"/>
            <w:tcBorders>
              <w:right w:val="single" w:color="auto" w:sz="4" w:space="0"/>
            </w:tcBorders>
            <w:vAlign w:val="center"/>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742" w:type="dxa"/>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line="400" w:lineRule="exact"/>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9" w:type="dxa"/>
            <w:tcBorders>
              <w:right w:val="single" w:color="auto" w:sz="4" w:space="0"/>
            </w:tcBorders>
            <w:vAlign w:val="center"/>
          </w:tcPr>
          <w:p>
            <w:pPr>
              <w:spacing w:before="156" w:beforeLines="50"/>
              <w:jc w:val="center"/>
              <w:rPr>
                <w:rFonts w:ascii="宋体" w:hAnsi="宋体" w:cs="宋体"/>
                <w:szCs w:val="24"/>
              </w:rPr>
            </w:pPr>
          </w:p>
        </w:tc>
        <w:tc>
          <w:tcPr>
            <w:tcW w:w="1742"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9" w:type="dxa"/>
            <w:tcBorders>
              <w:right w:val="single" w:color="auto" w:sz="4" w:space="0"/>
            </w:tcBorders>
            <w:vAlign w:val="center"/>
          </w:tcPr>
          <w:p>
            <w:pPr>
              <w:spacing w:before="156" w:beforeLines="50"/>
              <w:jc w:val="center"/>
              <w:rPr>
                <w:rFonts w:ascii="宋体" w:hAnsi="宋体" w:cs="宋体"/>
                <w:szCs w:val="24"/>
              </w:rPr>
            </w:pPr>
          </w:p>
        </w:tc>
        <w:tc>
          <w:tcPr>
            <w:tcW w:w="1742"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9" w:type="dxa"/>
            <w:tcBorders>
              <w:right w:val="single" w:color="auto" w:sz="4" w:space="0"/>
            </w:tcBorders>
            <w:vAlign w:val="center"/>
          </w:tcPr>
          <w:p>
            <w:pPr>
              <w:spacing w:before="156" w:beforeLines="50"/>
              <w:jc w:val="center"/>
              <w:rPr>
                <w:rFonts w:ascii="宋体" w:hAnsi="宋体" w:cs="宋体"/>
                <w:szCs w:val="24"/>
              </w:rPr>
            </w:pPr>
          </w:p>
        </w:tc>
        <w:tc>
          <w:tcPr>
            <w:tcW w:w="1742"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bl>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学校和院系教学质量保障体系建设的制度文件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主要教学环节质量要求标准文件及运行过程文档</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7.2［内部监控］建立教学过程质量常态化监控机制，定期对各主要教学环节质量实施监控与评价，保障毕业要求达成。</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描述说明学校和院系两级教学质量监控与评价机制的建立情况，列出教学管理和质量保障规章制度，并说明近三年教学管理和质量保障制度更新情况。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专业毕业要求达成情况评价机制和方法，包括评价制度、评价责任机构、评价对象、评价周期、评价依据（主要来源于课程目标达成评价结果中的过程性评价数据和结果性评价数据）、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描述说明学校和院系两级全过程监控与评价专业教学过程用以保障专业毕业要求达成的情况。</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教学过程质量监控过程的原始记录文档（附件中提供列表说明）</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近三年专业核心课程的课程目标达成情况评价报告，及其评价依据合理性审核记录（其他课程评价资料，在附件中提供索引）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学校毕业要求达成情况评价实施办法，及院系实施细则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学校课程目标达成情况评价实施办法，及院系实施细则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最近一次毕业要求达成评价过程的原始记录文档（附件中提供索引）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毕业要求达成情况报告</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7.3［外部评价］建立毕业生跟踪反馈机制以及职业学校、教育行政部门、行业企业等利益相关方参与的社会评价机制，对培养目标的达成情况进行定期评价。</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描述说明毕业生持续跟踪反馈机制（责任机构、工作周期、跟踪对象与方法、收集的信息、结果的利用），以及最近一次毕业生跟踪反馈的开展情况（包括对象、方法、结果）。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职业学校、教育行政部门、行业企业等利益相关方参与的多元社会评价机制（责任机构、评价周期、评价方法、信息收集渠道、结果的利用），以及最近一次社会评价的开展情况（包括对象、方法、结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描述说明培养目标达成情况评价的方法、周期以及基于上述两个机制运行获取的各类信息，对培养目标达成情况进行的分析和结果。</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毕业生跟踪反馈的制度文件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毕业生跟踪反馈的原始记录（附件中提供原始记录索引）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社会评价机制的制度文件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各类社会评价信息的原始记录（附件中提供原始记录索引）</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学校培养目标达成情况评价实施办法，及院系实施细则培养目标达成情况评价报告</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7.4［持续改进］定期对校内外的评价结果进行综合分析，能够有效使用分析结果，推动师范生培养质量持续改进和提高。</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评价结果用于专业持续改进的制度性文件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最近一次关于培养目标、毕业要求、课程体系和课程目标的评价结果分析报告、评价结果用于反馈改进的过程记录，以及改进结果分析材料</w:t>
      </w:r>
    </w:p>
    <w:p>
      <w:pPr>
        <w:adjustRightInd w:val="0"/>
        <w:snapToGrid w:val="0"/>
        <w:jc w:val="left"/>
        <w:outlineLvl w:val="1"/>
        <w:rPr>
          <w:rFonts w:ascii="微软雅黑" w:hAnsi="微软雅黑" w:eastAsia="微软雅黑"/>
          <w:b/>
          <w:kern w:val="44"/>
          <w:szCs w:val="24"/>
        </w:rPr>
      </w:pPr>
      <w:bookmarkStart w:id="83" w:name="_Toc31500"/>
      <w:bookmarkStart w:id="84" w:name="_Toc58064555"/>
      <w:r>
        <w:rPr>
          <w:rFonts w:hint="eastAsia" w:ascii="微软雅黑" w:hAnsi="微软雅黑" w:eastAsia="微软雅黑"/>
          <w:b/>
          <w:kern w:val="44"/>
          <w:szCs w:val="24"/>
        </w:rPr>
        <w:t>第二部分：主要问题</w:t>
      </w:r>
      <w:bookmarkEnd w:id="83"/>
      <w:bookmarkEnd w:id="84"/>
    </w:p>
    <w:p>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jc w:val="left"/>
        <w:rPr>
          <w:rFonts w:ascii="宋体" w:hAnsi="宋体" w:eastAsia="宋体" w:cs="宋体"/>
          <w:szCs w:val="24"/>
        </w:rPr>
      </w:pPr>
      <w:r>
        <w:rPr>
          <w:rFonts w:hint="eastAsia" w:ascii="宋体" w:hAnsi="宋体" w:eastAsia="宋体" w:cs="宋体"/>
          <w:szCs w:val="24"/>
        </w:rPr>
        <w:t xml:space="preserve">7.1 [保障体系]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7.2[内部监控]</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7.3 [外部评价]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7.4 [持续改进]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86" w:name="_Toc58064556"/>
      <w:bookmarkStart w:id="87" w:name="_Toc16505"/>
      <w:r>
        <w:rPr>
          <w:rFonts w:hint="eastAsia" w:ascii="微软雅黑" w:hAnsi="微软雅黑" w:eastAsia="微软雅黑"/>
          <w:b/>
          <w:kern w:val="44"/>
          <w:szCs w:val="24"/>
        </w:rPr>
        <w:t>第三部分：改进措施</w:t>
      </w:r>
      <w:bookmarkEnd w:id="86"/>
      <w:bookmarkEnd w:id="87"/>
    </w:p>
    <w:p>
      <w:pPr>
        <w:spacing w:before="156" w:beforeLines="50" w:after="156" w:afterLines="50"/>
        <w:jc w:val="left"/>
        <w:rPr>
          <w:rFonts w:ascii="楷体" w:hAnsi="楷体" w:cs="楷体"/>
          <w:szCs w:val="28"/>
        </w:rPr>
      </w:pPr>
      <w:bookmarkStart w:id="88"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8"/>
    <w:p>
      <w:pPr>
        <w:jc w:val="left"/>
        <w:rPr>
          <w:rFonts w:ascii="宋体" w:hAnsi="宋体" w:eastAsia="宋体" w:cs="宋体"/>
          <w:szCs w:val="24"/>
        </w:rPr>
      </w:pPr>
      <w:r>
        <w:rPr>
          <w:rFonts w:hint="eastAsia" w:ascii="宋体" w:hAnsi="宋体" w:eastAsia="宋体" w:cs="宋体"/>
          <w:szCs w:val="24"/>
        </w:rPr>
        <w:t xml:space="preserve">7.1 [保障体系]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7.2 [内部监控]</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7.3 [外部评价]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7.4 [持续改进] </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rPr>
          <w:rFonts w:ascii="宋体" w:hAnsi="宋体" w:eastAsia="宋体" w:cs="宋体"/>
          <w:szCs w:val="24"/>
          <w:shd w:val="clear" w:color="auto" w:fill="FFFFFF"/>
        </w:rPr>
      </w:pPr>
    </w:p>
    <w:p>
      <w:pPr>
        <w:pStyle w:val="2"/>
        <w:spacing w:line="240" w:lineRule="auto"/>
        <w:rPr>
          <w:rFonts w:ascii="微软雅黑" w:hAnsi="微软雅黑" w:eastAsia="微软雅黑"/>
          <w:b/>
        </w:rPr>
      </w:pPr>
      <w:bookmarkStart w:id="89" w:name="_Toc58064557"/>
      <w:bookmarkStart w:id="90" w:name="_Toc27857"/>
      <w:r>
        <w:rPr>
          <w:rFonts w:hint="eastAsia" w:ascii="微软雅黑" w:hAnsi="微软雅黑" w:eastAsia="微软雅黑"/>
          <w:b/>
        </w:rPr>
        <w:t>标准8学生发展</w:t>
      </w:r>
      <w:bookmarkEnd w:id="89"/>
      <w:bookmarkEnd w:id="90"/>
    </w:p>
    <w:p>
      <w:pPr>
        <w:adjustRightInd w:val="0"/>
        <w:snapToGrid w:val="0"/>
        <w:jc w:val="left"/>
        <w:outlineLvl w:val="1"/>
        <w:rPr>
          <w:rFonts w:ascii="微软雅黑" w:hAnsi="微软雅黑" w:eastAsia="微软雅黑"/>
          <w:b/>
          <w:kern w:val="44"/>
          <w:szCs w:val="24"/>
        </w:rPr>
      </w:pPr>
      <w:bookmarkStart w:id="91" w:name="_Toc58064558"/>
      <w:bookmarkStart w:id="92" w:name="_Toc3041"/>
      <w:r>
        <w:rPr>
          <w:rFonts w:hint="eastAsia" w:ascii="微软雅黑" w:hAnsi="微软雅黑" w:eastAsia="微软雅黑"/>
          <w:b/>
          <w:kern w:val="44"/>
          <w:szCs w:val="24"/>
        </w:rPr>
        <w:t>第一部分：达成情况</w:t>
      </w:r>
      <w:bookmarkEnd w:id="91"/>
      <w:bookmarkEnd w:id="9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8.1［生源质量］建立有效的制度措施，能够吸引志愿从教、素质良好、有一定技术技能基础或潜质的生源。</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列表说明专业近三年生源情况。简要分析生源状态、变化情况和主要原因。</w:t>
      </w:r>
    </w:p>
    <w:tbl>
      <w:tblPr>
        <w:tblStyle w:val="11"/>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所在省</w:t>
            </w:r>
          </w:p>
          <w:p>
            <w:pPr>
              <w:pStyle w:val="20"/>
              <w:spacing w:line="400" w:lineRule="exact"/>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专业第一志</w:t>
            </w:r>
          </w:p>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spacing w:line="400" w:lineRule="exact"/>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描述说明学校和院系两级建立符合职业技术师范教育专业和教师教育特点、吸引乐教、适教的优秀生源制度措施及效果情况。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描述说明本专业生源的技术技能基础或潜质（如招收中、高等职业学校优秀毕业生情况、技能大赛获奖选手）。</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招生相关制度文件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专业招生宣传材料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面向新生奖学金、助学金的相关文件，本专业学生获得情况</w:t>
      </w:r>
      <w:bookmarkStart w:id="93" w:name="_Hlk62469050"/>
      <w:r>
        <w:rPr>
          <w:rFonts w:hint="eastAsia" w:ascii="仿宋_GB2312" w:hAnsi="仿宋_GB2312" w:eastAsia="仿宋_GB2312" w:cs="仿宋_GB2312"/>
          <w:szCs w:val="24"/>
        </w:rPr>
        <w:t>以及其他反映专业招生举措及有吸引力的培养举措等特色性资料</w:t>
      </w:r>
      <w:bookmarkEnd w:id="93"/>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近三年新生录取成绩及变化情况分析</w:t>
      </w:r>
    </w:p>
    <w:p>
      <w:pPr>
        <w:adjustRightInd w:val="0"/>
        <w:snapToGrid w:val="0"/>
        <w:jc w:val="left"/>
        <w:rPr>
          <w:rFonts w:ascii="宋体" w:hAnsi="宋体" w:eastAsia="宋体" w:cs="宋体"/>
          <w:color w:val="FF0000"/>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8.2［学生需求］了解师范生发展诉求，加强学情分析，设计兼顾共性要求与个性需求的培养方案与教学管理制度，为师范生发展提供空间。</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 xml:space="preserve">描述说明学校和院系两级建立师范生发展诉求、学情调研机制和师范生发展评价指导体系，及其支持师范生个性化发展的情况。 </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描述说明学校和院系两级针对专业教学和师范生个性发展需求的培养方案与管理制度措施，及这些制度和措施在支持和促进师范生发展，满足师范生多样化需求方面发挥的作用。</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相关管理制度</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8.3［成长指导］建立师范生指导与服务体系，加强思想政治教育，强化管理服务育人，能够适时为师范生提供生活指导、学习指导、职业生涯指导、心理健康指导等，满足师范生成长需求。</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描述说明学校和院系两级依据毕业要求设立的师范生指导和服务体系及运行方式。</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描述说明开展学习指导的机制、内容、方法与效果，指导师范生根据培养目标和毕业要求制订学习规划、根据课程目标制订课程学习计划，并指导有效学习。</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描述说明学校和院系两级全面、全程、全员育人制度建设情况，思想政治教育工作贯穿专业教学全过程的情况及其实效。</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学生生活指导、学习指导、职业生涯指导、就业创业指导、心理健康指导等方面的制度文件。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开展学习指导的制度与实施相关文档。</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8.4［学业监测］建立形成性评价机制，监测师范生的学习进展和技术技能掌握情况，保证师范生在毕业时达到毕业要求。</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本专业对学生毕业、获得学位的管理规定，对各类考核合格标准的控制措施。</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描述说明师范生形成性评价机制的建立情况，及对师范生在整个学习过程中的表现进行跟踪与评价情况及实施成效。</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以1-2门专业核心课程为例，说明课程如何跟踪和评价学生的学习表现，如何根据评价收集的信息，评价和判断学生个体的学业情况，并据此采取改进措施，帮助学生达成课程目标等。</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本专业的学业预警制度，对学业有困难学生的帮扶措施和取得的效果。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描述说明近三年师范生学业预警情况，分析指导师范生开展自我监测和自我评价的效果。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描述说明根据学生自我监测和自我评价结果开展指导和改进，保证师范生在毕业时达到专业毕业要求的情况，并举例说明。</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对于学生学业要求的相关文件。</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专业对学生学业跟踪评价的相关文档。</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学生跟踪评价和学业帮扶的原始记录（附件中提供材料索引）。</w:t>
      </w:r>
    </w:p>
    <w:p>
      <w:pPr>
        <w:adjustRightInd w:val="0"/>
        <w:snapToGrid w:val="0"/>
        <w:jc w:val="left"/>
        <w:rPr>
          <w:rFonts w:ascii="宋体" w:hAnsi="宋体" w:eastAsia="宋体" w:cs="宋体"/>
          <w:szCs w:val="24"/>
          <w:shd w:val="clear" w:color="auto" w:fill="FFFFFF"/>
        </w:rPr>
      </w:pP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8.5［就业质量］毕业生的初次就业率不低于本地区高校毕业生就业率的平均水平，获得教师资格证书的比例不低于</w:t>
      </w:r>
      <w:r>
        <w:rPr>
          <w:rFonts w:ascii="宋体" w:hAnsi="宋体" w:eastAsia="宋体" w:cs="宋体"/>
          <w:szCs w:val="24"/>
          <w:shd w:val="clear" w:color="auto" w:fill="FFFFFF"/>
        </w:rPr>
        <w:t>75%，且主要从事教育工作。</w:t>
      </w:r>
      <w:r>
        <w:rPr>
          <w:rFonts w:hint="eastAsia" w:ascii="宋体" w:hAnsi="宋体" w:eastAsia="宋体" w:cs="宋体"/>
          <w:szCs w:val="24"/>
          <w:shd w:val="clear" w:color="auto" w:fill="FFFFFF"/>
        </w:rPr>
        <w:t>有相关职业技能等级证书或职业资格证书等的专业，毕业生要取得“双证书”。</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描述说明学校和院系两级促进专业毕业生就业质量的制度措施及效果。</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列表说明近三年专业毕业生教师资格考试通过率（有相关职业技能等级证书或职业资格证书等的专业，毕业生“双证书”获取率）、就业率及就业去向，并对就业质量及毕业生从教情况进行分析。</w:t>
      </w:r>
    </w:p>
    <w:tbl>
      <w:tblPr>
        <w:tblStyle w:val="11"/>
        <w:tblW w:w="4997" w:type="pct"/>
        <w:jc w:val="center"/>
        <w:tblLayout w:type="autofit"/>
        <w:tblCellMar>
          <w:top w:w="0" w:type="dxa"/>
          <w:left w:w="108" w:type="dxa"/>
          <w:bottom w:w="0" w:type="dxa"/>
          <w:right w:w="108" w:type="dxa"/>
        </w:tblCellMar>
      </w:tblPr>
      <w:tblGrid>
        <w:gridCol w:w="456"/>
        <w:gridCol w:w="574"/>
        <w:gridCol w:w="664"/>
        <w:gridCol w:w="594"/>
        <w:gridCol w:w="686"/>
        <w:gridCol w:w="686"/>
        <w:gridCol w:w="482"/>
        <w:gridCol w:w="407"/>
        <w:gridCol w:w="482"/>
        <w:gridCol w:w="893"/>
        <w:gridCol w:w="570"/>
        <w:gridCol w:w="456"/>
        <w:gridCol w:w="642"/>
        <w:gridCol w:w="456"/>
        <w:gridCol w:w="469"/>
      </w:tblGrid>
      <w:tr>
        <w:tblPrEx>
          <w:tblCellMar>
            <w:top w:w="0" w:type="dxa"/>
            <w:left w:w="108" w:type="dxa"/>
            <w:bottom w:w="0" w:type="dxa"/>
            <w:right w:w="108" w:type="dxa"/>
          </w:tblCellMar>
        </w:tblPrEx>
        <w:trPr>
          <w:trHeight w:val="434" w:hRule="atLeast"/>
          <w:jc w:val="center"/>
        </w:trPr>
        <w:tc>
          <w:tcPr>
            <w:tcW w:w="254" w:type="pct"/>
            <w:vMerge w:val="restart"/>
            <w:tcBorders>
              <w:top w:val="single" w:color="000000" w:sz="4" w:space="0"/>
              <w:left w:val="single" w:color="000000" w:sz="4" w:space="0"/>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年份</w:t>
            </w:r>
          </w:p>
        </w:tc>
        <w:tc>
          <w:tcPr>
            <w:tcW w:w="339" w:type="pct"/>
            <w:vMerge w:val="restar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毕业生数</w:t>
            </w:r>
          </w:p>
        </w:tc>
        <w:tc>
          <w:tcPr>
            <w:tcW w:w="392" w:type="pct"/>
            <w:vMerge w:val="restart"/>
            <w:tcBorders>
              <w:top w:val="single" w:color="000000" w:sz="4" w:space="0"/>
              <w:left w:val="nil"/>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毕业率</w:t>
            </w:r>
          </w:p>
        </w:tc>
        <w:tc>
          <w:tcPr>
            <w:tcW w:w="351" w:type="pct"/>
            <w:vMerge w:val="restart"/>
            <w:tcBorders>
              <w:top w:val="single" w:color="000000" w:sz="4" w:space="0"/>
              <w:left w:val="nil"/>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获学位率</w:t>
            </w:r>
          </w:p>
        </w:tc>
        <w:tc>
          <w:tcPr>
            <w:tcW w:w="405" w:type="pct"/>
            <w:vMerge w:val="restart"/>
            <w:tcBorders>
              <w:top w:val="single" w:color="000000" w:sz="4" w:space="0"/>
              <w:left w:val="nil"/>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405" w:type="pct"/>
            <w:vMerge w:val="restart"/>
            <w:tcBorders>
              <w:top w:val="single" w:color="000000" w:sz="4" w:space="0"/>
              <w:left w:val="single" w:color="auto" w:sz="4" w:space="0"/>
              <w:right w:val="single" w:color="auto"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一次就业率</w:t>
            </w:r>
          </w:p>
        </w:tc>
        <w:tc>
          <w:tcPr>
            <w:tcW w:w="526" w:type="pct"/>
            <w:gridSpan w:val="2"/>
            <w:tcBorders>
              <w:top w:val="single" w:color="000000" w:sz="4" w:space="0"/>
              <w:left w:val="nil"/>
              <w:right w:val="nil"/>
            </w:tcBorders>
          </w:tcPr>
          <w:p>
            <w:pPr>
              <w:pStyle w:val="20"/>
              <w:spacing w:line="400" w:lineRule="exact"/>
              <w:ind w:firstLine="0" w:firstLineChars="0"/>
              <w:jc w:val="center"/>
              <w:rPr>
                <w:rFonts w:ascii="华文楷体" w:hAnsi="华文楷体" w:eastAsia="华文楷体"/>
              </w:rPr>
            </w:pPr>
          </w:p>
        </w:tc>
        <w:tc>
          <w:tcPr>
            <w:tcW w:w="2325" w:type="pct"/>
            <w:gridSpan w:val="7"/>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254" w:type="pct"/>
            <w:vMerge w:val="continue"/>
            <w:tcBorders>
              <w:top w:val="single" w:color="000000" w:sz="4" w:space="0"/>
              <w:left w:val="single" w:color="000000" w:sz="4" w:space="0"/>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p>
        </w:tc>
        <w:tc>
          <w:tcPr>
            <w:tcW w:w="339" w:type="pct"/>
            <w:vMerge w:val="continue"/>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p>
        </w:tc>
        <w:tc>
          <w:tcPr>
            <w:tcW w:w="392" w:type="pct"/>
            <w:vMerge w:val="continue"/>
            <w:tcBorders>
              <w:left w:val="nil"/>
              <w:bottom w:val="single" w:color="auto" w:sz="4" w:space="0"/>
              <w:right w:val="single" w:color="auto" w:sz="4" w:space="0"/>
            </w:tcBorders>
          </w:tcPr>
          <w:p>
            <w:pPr>
              <w:pStyle w:val="20"/>
              <w:spacing w:line="400" w:lineRule="exact"/>
              <w:ind w:firstLine="0" w:firstLineChars="0"/>
              <w:jc w:val="center"/>
              <w:rPr>
                <w:rFonts w:ascii="华文楷体" w:hAnsi="华文楷体" w:eastAsia="华文楷体"/>
              </w:rPr>
            </w:pPr>
          </w:p>
        </w:tc>
        <w:tc>
          <w:tcPr>
            <w:tcW w:w="351" w:type="pct"/>
            <w:vMerge w:val="continue"/>
            <w:tcBorders>
              <w:left w:val="nil"/>
              <w:bottom w:val="single" w:color="auto" w:sz="4" w:space="0"/>
              <w:right w:val="single" w:color="auto" w:sz="4" w:space="0"/>
            </w:tcBorders>
          </w:tcPr>
          <w:p>
            <w:pPr>
              <w:pStyle w:val="20"/>
              <w:spacing w:line="400" w:lineRule="exact"/>
              <w:ind w:firstLine="0" w:firstLineChars="0"/>
              <w:jc w:val="center"/>
              <w:rPr>
                <w:rFonts w:ascii="华文楷体" w:hAnsi="华文楷体" w:eastAsia="华文楷体"/>
              </w:rPr>
            </w:pPr>
          </w:p>
        </w:tc>
        <w:tc>
          <w:tcPr>
            <w:tcW w:w="405" w:type="pct"/>
            <w:vMerge w:val="continue"/>
            <w:tcBorders>
              <w:left w:val="nil"/>
              <w:bottom w:val="single" w:color="auto" w:sz="4" w:space="0"/>
              <w:right w:val="single" w:color="auto" w:sz="4" w:space="0"/>
            </w:tcBorders>
          </w:tcPr>
          <w:p>
            <w:pPr>
              <w:pStyle w:val="20"/>
              <w:spacing w:line="400" w:lineRule="exact"/>
              <w:ind w:firstLine="0" w:firstLineChars="0"/>
              <w:jc w:val="center"/>
              <w:rPr>
                <w:rFonts w:ascii="华文楷体" w:hAnsi="华文楷体" w:eastAsia="华文楷体"/>
              </w:rPr>
            </w:pPr>
          </w:p>
        </w:tc>
        <w:tc>
          <w:tcPr>
            <w:tcW w:w="405" w:type="pct"/>
            <w:vMerge w:val="continue"/>
            <w:tcBorders>
              <w:left w:val="single" w:color="auto" w:sz="4" w:space="0"/>
              <w:bottom w:val="single" w:color="auto" w:sz="4" w:space="0"/>
              <w:right w:val="single" w:color="auto" w:sz="4" w:space="0"/>
            </w:tcBorders>
          </w:tcPr>
          <w:p>
            <w:pPr>
              <w:pStyle w:val="20"/>
              <w:spacing w:line="400" w:lineRule="exact"/>
              <w:ind w:firstLine="0" w:firstLineChars="0"/>
              <w:jc w:val="center"/>
              <w:rPr>
                <w:rFonts w:ascii="华文楷体" w:hAnsi="华文楷体" w:eastAsia="华文楷体"/>
              </w:rPr>
            </w:pPr>
          </w:p>
        </w:tc>
        <w:tc>
          <w:tcPr>
            <w:tcW w:w="285"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读研</w:t>
            </w:r>
          </w:p>
        </w:tc>
        <w:tc>
          <w:tcPr>
            <w:tcW w:w="526" w:type="pct"/>
            <w:gridSpan w:val="2"/>
            <w:tcBorders>
              <w:top w:val="single" w:color="000000" w:sz="4" w:space="0"/>
              <w:left w:val="nil"/>
              <w:bottom w:val="single" w:color="000000" w:sz="4" w:space="0"/>
              <w:right w:val="single" w:color="auto" w:sz="4" w:space="0"/>
            </w:tcBorders>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526" w:type="pct"/>
            <w:tcBorders>
              <w:top w:val="single" w:color="000000" w:sz="4" w:space="0"/>
              <w:left w:val="single" w:color="auto" w:sz="4" w:space="0"/>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337"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国有企业</w:t>
            </w:r>
          </w:p>
        </w:tc>
        <w:tc>
          <w:tcPr>
            <w:tcW w:w="270"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外企</w:t>
            </w:r>
          </w:p>
        </w:tc>
        <w:tc>
          <w:tcPr>
            <w:tcW w:w="379"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其它企业</w:t>
            </w:r>
          </w:p>
        </w:tc>
        <w:tc>
          <w:tcPr>
            <w:tcW w:w="251"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入伍</w:t>
            </w:r>
          </w:p>
        </w:tc>
        <w:tc>
          <w:tcPr>
            <w:tcW w:w="272" w:type="pct"/>
            <w:tcBorders>
              <w:top w:val="single" w:color="000000" w:sz="4" w:space="0"/>
              <w:left w:val="nil"/>
              <w:bottom w:val="single" w:color="000000" w:sz="4" w:space="0"/>
              <w:right w:val="single" w:color="000000" w:sz="4" w:space="0"/>
            </w:tcBorders>
            <w:vAlign w:val="center"/>
          </w:tcPr>
          <w:p>
            <w:pPr>
              <w:pStyle w:val="20"/>
              <w:spacing w:line="400" w:lineRule="exact"/>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254" w:type="pc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339"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392" w:type="pct"/>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351" w:type="pct"/>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405" w:type="pct"/>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405" w:type="pct"/>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285"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26" w:type="pct"/>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526" w:type="pct"/>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337"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270"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379"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251"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272" w:type="pc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spacing w:line="400" w:lineRule="exact"/>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相关制度文件。</w:t>
      </w:r>
    </w:p>
    <w:p>
      <w:pPr>
        <w:adjustRightInd w:val="0"/>
        <w:snapToGrid w:val="0"/>
        <w:jc w:val="left"/>
        <w:rPr>
          <w:rFonts w:ascii="宋体" w:hAnsi="宋体" w:eastAsia="宋体" w:cs="宋体"/>
          <w:szCs w:val="24"/>
          <w:shd w:val="clear" w:color="auto" w:fill="FFFFFF"/>
        </w:rPr>
      </w:pPr>
      <w:r>
        <w:rPr>
          <w:rFonts w:hint="eastAsia" w:ascii="宋体" w:hAnsi="宋体" w:eastAsia="宋体" w:cs="宋体"/>
          <w:szCs w:val="24"/>
          <w:shd w:val="clear" w:color="auto" w:fill="FFFFFF"/>
        </w:rPr>
        <w:t>8.6 ［社会声誉］毕业生社会声誉较好，用人单位满意度较高。</w:t>
      </w:r>
    </w:p>
    <w:p>
      <w:pPr>
        <w:rPr>
          <w:rFonts w:ascii="华文楷体" w:hAnsi="华文楷体" w:eastAsia="华文楷体" w:cs="宋体"/>
          <w:b/>
        </w:rPr>
      </w:pPr>
      <w:r>
        <w:rPr>
          <w:rFonts w:hint="eastAsia" w:ascii="华文楷体" w:hAnsi="华文楷体" w:eastAsia="华文楷体" w:cs="宋体"/>
          <w:b/>
        </w:rPr>
        <w:t>（1）需要说明的情况：</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描述说明用人单位对专业毕业生满意度调查情况及调查结果（可用认证标准7.3外部评价有关满意度调查相关信息举证）。</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描述说明专业建立毕业生跟踪反馈与改进机制的情况及其实效（可用认证标准7.3外部评价有关毕业生跟踪调查相关信息举证）。</w:t>
      </w:r>
    </w:p>
    <w:p>
      <w:pPr>
        <w:rPr>
          <w:rFonts w:ascii="华文楷体" w:hAnsi="华文楷体" w:eastAsia="华文楷体" w:cs="宋体"/>
          <w:b/>
        </w:rPr>
      </w:pPr>
      <w:r>
        <w:rPr>
          <w:rFonts w:hint="eastAsia" w:ascii="华文楷体" w:hAnsi="华文楷体" w:eastAsia="华文楷体" w:cs="宋体"/>
          <w:b/>
        </w:rPr>
        <w:t>（2）需要提供的支撑材料：</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最近一次用人单位座谈原始材料等。</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用人单位对毕业生评价的调查问卷等。</w:t>
      </w:r>
    </w:p>
    <w:p>
      <w:pPr>
        <w:numPr>
          <w:ilvl w:val="0"/>
          <w:numId w:val="4"/>
        </w:numPr>
        <w:ind w:left="0"/>
        <w:rPr>
          <w:rFonts w:ascii="仿宋_GB2312" w:hAnsi="仿宋_GB2312" w:eastAsia="仿宋_GB2312" w:cs="仿宋_GB2312"/>
          <w:szCs w:val="24"/>
        </w:rPr>
      </w:pPr>
      <w:r>
        <w:rPr>
          <w:rFonts w:hint="eastAsia" w:ascii="仿宋_GB2312" w:hAnsi="仿宋_GB2312" w:eastAsia="仿宋_GB2312" w:cs="仿宋_GB2312"/>
          <w:szCs w:val="24"/>
        </w:rPr>
        <w:t>其他利益相关方对毕业生的评价等相关材料。</w:t>
      </w:r>
    </w:p>
    <w:p>
      <w:pPr>
        <w:adjustRightInd w:val="0"/>
        <w:snapToGrid w:val="0"/>
        <w:jc w:val="left"/>
        <w:outlineLvl w:val="1"/>
        <w:rPr>
          <w:rFonts w:ascii="微软雅黑" w:hAnsi="微软雅黑" w:eastAsia="微软雅黑"/>
          <w:b/>
          <w:kern w:val="44"/>
          <w:szCs w:val="24"/>
        </w:rPr>
      </w:pPr>
      <w:bookmarkStart w:id="94" w:name="_Toc13468"/>
      <w:bookmarkStart w:id="95" w:name="_Toc58064559"/>
      <w:r>
        <w:rPr>
          <w:rFonts w:hint="eastAsia" w:ascii="微软雅黑" w:hAnsi="微软雅黑" w:eastAsia="微软雅黑"/>
          <w:b/>
          <w:kern w:val="44"/>
          <w:szCs w:val="24"/>
        </w:rPr>
        <w:t>第二部分：主要问题</w:t>
      </w:r>
      <w:bookmarkEnd w:id="94"/>
      <w:bookmarkEnd w:id="95"/>
    </w:p>
    <w:p>
      <w:pPr>
        <w:spacing w:before="156" w:beforeLines="50" w:after="156" w:afterLines="50"/>
        <w:jc w:val="left"/>
        <w:rPr>
          <w:rFonts w:ascii="楷体" w:hAnsi="楷体" w:cs="楷体"/>
          <w:szCs w:val="28"/>
        </w:rPr>
      </w:pPr>
      <w:bookmarkStart w:id="96"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6"/>
    <w:p>
      <w:pPr>
        <w:jc w:val="left"/>
        <w:rPr>
          <w:rFonts w:ascii="宋体" w:hAnsi="宋体" w:eastAsia="宋体" w:cs="宋体"/>
          <w:szCs w:val="24"/>
        </w:rPr>
      </w:pPr>
      <w:r>
        <w:rPr>
          <w:rFonts w:hint="eastAsia" w:ascii="宋体" w:hAnsi="宋体" w:eastAsia="宋体" w:cs="宋体"/>
          <w:szCs w:val="24"/>
        </w:rPr>
        <w:t>8.1 [生源质量]</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8.2 [学生需求]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8.3 [成长指导]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8.4 [学业监测]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8.5 [就业质量]</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8.6 [社会声誉]</w:t>
      </w:r>
    </w:p>
    <w:p>
      <w:pPr>
        <w:jc w:val="left"/>
        <w:rPr>
          <w:rFonts w:ascii="宋体" w:hAnsi="宋体" w:eastAsia="宋体" w:cs="宋体"/>
          <w:szCs w:val="24"/>
        </w:rPr>
      </w:pPr>
      <w:r>
        <w:rPr>
          <w:rFonts w:hint="eastAsia" w:ascii="宋体" w:hAnsi="宋体" w:eastAsia="宋体" w:cs="宋体"/>
          <w:szCs w:val="24"/>
        </w:rPr>
        <w:t>……</w:t>
      </w:r>
    </w:p>
    <w:p>
      <w:pPr>
        <w:adjustRightInd w:val="0"/>
        <w:snapToGrid w:val="0"/>
        <w:jc w:val="left"/>
        <w:outlineLvl w:val="1"/>
        <w:rPr>
          <w:rFonts w:ascii="微软雅黑" w:hAnsi="微软雅黑" w:eastAsia="微软雅黑"/>
          <w:b/>
          <w:kern w:val="44"/>
          <w:szCs w:val="24"/>
        </w:rPr>
      </w:pPr>
      <w:bookmarkStart w:id="97" w:name="_Toc58064560"/>
      <w:bookmarkStart w:id="98" w:name="_Toc4630"/>
      <w:r>
        <w:rPr>
          <w:rFonts w:hint="eastAsia" w:ascii="微软雅黑" w:hAnsi="微软雅黑" w:eastAsia="微软雅黑"/>
          <w:b/>
          <w:kern w:val="44"/>
          <w:szCs w:val="24"/>
        </w:rPr>
        <w:t>第三部分：改进措施</w:t>
      </w:r>
      <w:bookmarkEnd w:id="97"/>
      <w:bookmarkEnd w:id="98"/>
    </w:p>
    <w:p>
      <w:pPr>
        <w:spacing w:before="156" w:beforeLines="50" w:after="156" w:afterLines="50"/>
        <w:jc w:val="left"/>
        <w:rPr>
          <w:rFonts w:ascii="楷体" w:hAnsi="楷体" w:cs="楷体"/>
          <w:szCs w:val="28"/>
        </w:rPr>
      </w:pPr>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p>
      <w:pPr>
        <w:jc w:val="left"/>
        <w:rPr>
          <w:rFonts w:ascii="宋体" w:hAnsi="宋体" w:eastAsia="宋体" w:cs="宋体"/>
          <w:szCs w:val="24"/>
        </w:rPr>
      </w:pPr>
      <w:r>
        <w:rPr>
          <w:rFonts w:hint="eastAsia" w:ascii="宋体" w:hAnsi="宋体" w:eastAsia="宋体" w:cs="宋体"/>
          <w:szCs w:val="24"/>
        </w:rPr>
        <w:t>8.1 [生源质量]</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8.2 [学生需求]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8.3 [成长指导]</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 xml:space="preserve">8.4 [学业监测] </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8.5 [就业质量]</w:t>
      </w:r>
    </w:p>
    <w:p>
      <w:pPr>
        <w:jc w:val="left"/>
        <w:rPr>
          <w:rFonts w:ascii="宋体" w:hAnsi="宋体" w:eastAsia="宋体" w:cs="宋体"/>
          <w:szCs w:val="24"/>
        </w:rPr>
      </w:pPr>
      <w:r>
        <w:rPr>
          <w:rFonts w:hint="eastAsia" w:ascii="宋体" w:hAnsi="宋体" w:eastAsia="宋体" w:cs="宋体"/>
          <w:szCs w:val="24"/>
        </w:rPr>
        <w:t>……</w:t>
      </w:r>
    </w:p>
    <w:p>
      <w:pPr>
        <w:jc w:val="left"/>
        <w:rPr>
          <w:rFonts w:ascii="宋体" w:hAnsi="宋体" w:eastAsia="宋体" w:cs="宋体"/>
          <w:szCs w:val="24"/>
        </w:rPr>
      </w:pPr>
      <w:r>
        <w:rPr>
          <w:rFonts w:hint="eastAsia" w:ascii="宋体" w:hAnsi="宋体" w:eastAsia="宋体" w:cs="宋体"/>
          <w:szCs w:val="24"/>
        </w:rPr>
        <w:t>8.6 [社会声誉]</w:t>
      </w:r>
    </w:p>
    <w:p>
      <w:pPr>
        <w:jc w:val="left"/>
        <w:rPr>
          <w:rFonts w:ascii="宋体" w:hAnsi="宋体" w:eastAsia="宋体" w:cs="宋体"/>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szCs w:val="24"/>
        </w:rPr>
        <w:t>……</w:t>
      </w:r>
    </w:p>
    <w:p>
      <w:pPr>
        <w:widowControl/>
        <w:jc w:val="left"/>
        <w:rPr>
          <w:rFonts w:ascii="微软雅黑" w:hAnsi="微软雅黑" w:eastAsia="微软雅黑"/>
          <w:b/>
          <w:bCs/>
          <w:kern w:val="44"/>
          <w:sz w:val="28"/>
          <w:szCs w:val="28"/>
        </w:rPr>
      </w:pPr>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21"/>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21"/>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21"/>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2.9</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21"/>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257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325755"/>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rPr>
                              <w:lang w:val="zh-CN"/>
                            </w:rPr>
                            <w:t>16</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65pt;width:9.05pt;mso-position-horizontal:center;mso-position-horizontal-relative:margin;mso-wrap-style:none;z-index:251659264;mso-width-relative:page;mso-height-relative:page;" filled="f" stroked="f" coordsize="21600,21600" o:gfxdata="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WyJkNIAAAADAQAADwAAAAAAAAABACAAAAAiAAAAZHJzL2Rvd25yZXYueG1s&#10;UEsBAhQAFAAAAAgAh07iQB7dCWg3AgAAYQQAAA4AAAAAAAAAAQAgAAAAIQEAAGRycy9lMm9Eb2Mu&#10;eG1sUEsFBgAAAAAGAAYAWQEAAMo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16</w:t>
                    </w:r>
                    <w:r>
                      <w:rPr>
                        <w:lang w:val="zh-CN"/>
                      </w:rPr>
                      <w:fldChar w:fldCharType="end"/>
                    </w:r>
                  </w:p>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DE46C"/>
    <w:multiLevelType w:val="singleLevel"/>
    <w:tmpl w:val="949DE46C"/>
    <w:lvl w:ilvl="0" w:tentative="0">
      <w:start w:val="1"/>
      <w:numFmt w:val="bullet"/>
      <w:lvlText w:val=""/>
      <w:lvlJc w:val="left"/>
      <w:pPr>
        <w:ind w:left="420" w:hanging="420"/>
      </w:pPr>
      <w:rPr>
        <w:rFonts w:hint="default" w:ascii="Wingdings" w:hAnsi="Wingdings"/>
      </w:rPr>
    </w:lvl>
  </w:abstractNum>
  <w:abstractNum w:abstractNumId="1">
    <w:nsid w:val="11A0531E"/>
    <w:multiLevelType w:val="multilevel"/>
    <w:tmpl w:val="11A0531E"/>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BCB0137"/>
    <w:multiLevelType w:val="singleLevel"/>
    <w:tmpl w:val="1BCB0137"/>
    <w:lvl w:ilvl="0" w:tentative="0">
      <w:start w:val="1"/>
      <w:numFmt w:val="bullet"/>
      <w:lvlText w:val=""/>
      <w:lvlJc w:val="left"/>
      <w:pPr>
        <w:ind w:left="420" w:hanging="420"/>
      </w:pPr>
      <w:rPr>
        <w:rFonts w:hint="default" w:ascii="Wingdings" w:hAnsi="Wingdings"/>
      </w:rPr>
    </w:lvl>
  </w:abstractNum>
  <w:abstractNum w:abstractNumId="3">
    <w:nsid w:val="3DDD0F3A"/>
    <w:multiLevelType w:val="multilevel"/>
    <w:tmpl w:val="3DDD0F3A"/>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E591C08"/>
    <w:multiLevelType w:val="multilevel"/>
    <w:tmpl w:val="6E591C08"/>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271F72"/>
    <w:multiLevelType w:val="multilevel"/>
    <w:tmpl w:val="75271F72"/>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ZjE1ZDY0ZDU1YzJjOTU5OTdiMzZhZWUxNzMxZTgifQ=="/>
  </w:docVars>
  <w:rsids>
    <w:rsidRoot w:val="000B4FA2"/>
    <w:rsid w:val="00012216"/>
    <w:rsid w:val="000A2AB9"/>
    <w:rsid w:val="000B405E"/>
    <w:rsid w:val="000B4FA2"/>
    <w:rsid w:val="00182BDF"/>
    <w:rsid w:val="001D75BA"/>
    <w:rsid w:val="00200DF0"/>
    <w:rsid w:val="002030E3"/>
    <w:rsid w:val="002470A7"/>
    <w:rsid w:val="00302C9E"/>
    <w:rsid w:val="00304934"/>
    <w:rsid w:val="0032785A"/>
    <w:rsid w:val="00363F13"/>
    <w:rsid w:val="003961E6"/>
    <w:rsid w:val="003979DE"/>
    <w:rsid w:val="003E4A1E"/>
    <w:rsid w:val="00403B79"/>
    <w:rsid w:val="00406B44"/>
    <w:rsid w:val="00420982"/>
    <w:rsid w:val="004626CA"/>
    <w:rsid w:val="004711DB"/>
    <w:rsid w:val="004E62CB"/>
    <w:rsid w:val="004F1DF7"/>
    <w:rsid w:val="00531032"/>
    <w:rsid w:val="00554206"/>
    <w:rsid w:val="00595DF7"/>
    <w:rsid w:val="00617608"/>
    <w:rsid w:val="00617F54"/>
    <w:rsid w:val="00627160"/>
    <w:rsid w:val="0064152C"/>
    <w:rsid w:val="007048A8"/>
    <w:rsid w:val="00724C2E"/>
    <w:rsid w:val="00746C07"/>
    <w:rsid w:val="0075749E"/>
    <w:rsid w:val="00827175"/>
    <w:rsid w:val="008648F0"/>
    <w:rsid w:val="008660DC"/>
    <w:rsid w:val="008853CA"/>
    <w:rsid w:val="00886380"/>
    <w:rsid w:val="008A548B"/>
    <w:rsid w:val="008C637C"/>
    <w:rsid w:val="008E389E"/>
    <w:rsid w:val="009806A6"/>
    <w:rsid w:val="009A0786"/>
    <w:rsid w:val="009D05DD"/>
    <w:rsid w:val="00A3772A"/>
    <w:rsid w:val="00AF76D8"/>
    <w:rsid w:val="00B32B2D"/>
    <w:rsid w:val="00B94249"/>
    <w:rsid w:val="00BA0C18"/>
    <w:rsid w:val="00BF7982"/>
    <w:rsid w:val="00CA4A89"/>
    <w:rsid w:val="00CC0EB8"/>
    <w:rsid w:val="00CF329D"/>
    <w:rsid w:val="00D01A5A"/>
    <w:rsid w:val="00D10041"/>
    <w:rsid w:val="00D964FA"/>
    <w:rsid w:val="00DC220F"/>
    <w:rsid w:val="00E16D76"/>
    <w:rsid w:val="00E25514"/>
    <w:rsid w:val="00E26EBA"/>
    <w:rsid w:val="00E44A34"/>
    <w:rsid w:val="00E649C7"/>
    <w:rsid w:val="00E91EB6"/>
    <w:rsid w:val="00EA5EFE"/>
    <w:rsid w:val="00F22236"/>
    <w:rsid w:val="00F35224"/>
    <w:rsid w:val="00F428F5"/>
    <w:rsid w:val="00F50109"/>
    <w:rsid w:val="00F5738D"/>
    <w:rsid w:val="00F75664"/>
    <w:rsid w:val="00F767DA"/>
    <w:rsid w:val="00F85750"/>
    <w:rsid w:val="00FB573C"/>
    <w:rsid w:val="00FC79F6"/>
    <w:rsid w:val="00FE2564"/>
    <w:rsid w:val="00FF2EC4"/>
    <w:rsid w:val="3CF1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eastAsia="黑体"/>
      <w:bCs/>
      <w:szCs w:val="32"/>
    </w:rPr>
  </w:style>
  <w:style w:type="paragraph" w:styleId="4">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kern w:val="0"/>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unhideWhenUsed/>
    <w:qFormat/>
    <w:uiPriority w:val="99"/>
    <w:rPr>
      <w:sz w:val="21"/>
      <w:szCs w:val="21"/>
    </w:rPr>
  </w:style>
  <w:style w:type="character" w:customStyle="1" w:styleId="15">
    <w:name w:val="页眉 字符"/>
    <w:basedOn w:val="13"/>
    <w:link w:val="7"/>
    <w:uiPriority w:val="0"/>
    <w:rPr>
      <w:sz w:val="18"/>
      <w:szCs w:val="18"/>
    </w:rPr>
  </w:style>
  <w:style w:type="character" w:customStyle="1" w:styleId="16">
    <w:name w:val="页脚 字符"/>
    <w:basedOn w:val="13"/>
    <w:link w:val="6"/>
    <w:qFormat/>
    <w:uiPriority w:val="99"/>
    <w:rPr>
      <w:sz w:val="18"/>
      <w:szCs w:val="18"/>
    </w:rPr>
  </w:style>
  <w:style w:type="character" w:customStyle="1" w:styleId="17">
    <w:name w:val="标题 1 字符"/>
    <w:basedOn w:val="13"/>
    <w:link w:val="2"/>
    <w:uiPriority w:val="9"/>
    <w:rPr>
      <w:rFonts w:ascii="Calibri" w:hAnsi="Calibri" w:eastAsia="黑体" w:cs="Times New Roman"/>
      <w:bCs/>
      <w:kern w:val="44"/>
      <w:sz w:val="28"/>
      <w:szCs w:val="44"/>
    </w:rPr>
  </w:style>
  <w:style w:type="character" w:customStyle="1" w:styleId="18">
    <w:name w:val="标题 2 字符"/>
    <w:basedOn w:val="13"/>
    <w:link w:val="3"/>
    <w:qFormat/>
    <w:uiPriority w:val="9"/>
    <w:rPr>
      <w:rFonts w:ascii="Cambria" w:hAnsi="Cambria" w:eastAsia="黑体" w:cs="Times New Roman"/>
      <w:bCs/>
      <w:sz w:val="24"/>
      <w:szCs w:val="32"/>
    </w:rPr>
  </w:style>
  <w:style w:type="character" w:customStyle="1" w:styleId="19">
    <w:name w:val="标题 3 字符"/>
    <w:basedOn w:val="13"/>
    <w:link w:val="4"/>
    <w:uiPriority w:val="9"/>
    <w:rPr>
      <w:rFonts w:ascii="Calibri" w:hAnsi="Calibri" w:eastAsia="楷体" w:cs="Times New Roman"/>
      <w:b/>
      <w:bCs/>
      <w:sz w:val="32"/>
      <w:szCs w:val="32"/>
    </w:rPr>
  </w:style>
  <w:style w:type="paragraph" w:styleId="20">
    <w:name w:val="List Paragraph"/>
    <w:basedOn w:val="1"/>
    <w:qFormat/>
    <w:uiPriority w:val="34"/>
    <w:pPr>
      <w:ind w:firstLine="420" w:firstLineChars="200"/>
    </w:pPr>
    <w:rPr>
      <w:rFonts w:cs="Calibri"/>
      <w:szCs w:val="21"/>
    </w:rPr>
  </w:style>
  <w:style w:type="paragraph" w:customStyle="1" w:styleId="21">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22">
    <w:name w:val="网格型浅色1"/>
    <w:basedOn w:val="11"/>
    <w:qFormat/>
    <w:uiPriority w:val="40"/>
    <w:rPr>
      <w:rFonts w:ascii="Times New Roman" w:hAnsi="Times New Roman" w:eastAsia="宋体" w:cs="Times New Roman"/>
      <w:kern w:val="0"/>
      <w:sz w:val="20"/>
      <w:szCs w:val="20"/>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23">
    <w:name w:val="批注框文本 字符"/>
    <w:basedOn w:val="13"/>
    <w:link w:val="5"/>
    <w:semiHidden/>
    <w:uiPriority w:val="99"/>
    <w:rPr>
      <w:rFonts w:ascii="Calibri" w:hAnsi="Calibri" w:eastAsia="楷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4A44-6EBD-40E2-B33C-27239C0BFF72}">
  <ds:schemaRefs/>
</ds:datastoreItem>
</file>

<file path=docProps/app.xml><?xml version="1.0" encoding="utf-8"?>
<Properties xmlns="http://schemas.openxmlformats.org/officeDocument/2006/extended-properties" xmlns:vt="http://schemas.openxmlformats.org/officeDocument/2006/docPropsVTypes">
  <Template>Normal</Template>
  <Pages>42</Pages>
  <Words>4334</Words>
  <Characters>24706</Characters>
  <Lines>205</Lines>
  <Paragraphs>57</Paragraphs>
  <TotalTime>43</TotalTime>
  <ScaleCrop>false</ScaleCrop>
  <LinksUpToDate>false</LinksUpToDate>
  <CharactersWithSpaces>28983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2021-03-02T06:40:00Z</dcterms:created>
  <dc:creator>ccnujwc</dc:creator>
  <cp:lastModifiedBy>日月东方红</cp:lastModifiedBy>
  <dcterms:modified xsi:type="dcterms:W3CDTF">2023-09-25T08:54:37Z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FDE8F4134080449B8970491C9015A947_12</vt:lpwstr>
  </property>
</Properties>
</file>